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vom 11.06.2026</w:t>
      </w:r>
    </w:p>
    <w:p>
      <w:pPr>
        <w:pStyle w:val="Heading2"/>
      </w:pPr>
      <w:r>
        <w:rPr>
          <w:rFonts w:ascii="Times New Roman" w:hAnsi="Times New Roman"/>
        </w:rPr>
        <w:t>1 Anlass und Beteiligte</w:t>
      </w:r>
    </w:p>
    <w:p>
      <w:pPr>
        <w:jc w:val="left"/>
      </w:pPr>
      <w:r>
        <w:t>Dr. Andreas Voßkamp erschien am 11.06.2026 um 14:30 Uhr zur Erstberatung. Er ist 54 Jahre alt, Oberarzt der Anästhesie am Marienhospital Münster-Süd. Er ist seit dem 26.03.2021 rechtskräftig von Carola Voßkamp (geborene Tendering, 51 Jahre) geschieden. Aus der Ehe sind zwei inzwischen volljährige Kinder hervorgegangen: Jonas Voßkamp (24, abgeschlossenes Maschinenbaustudium, eigenes Einkommen) und Lina Voßkamp (22, Studentin der Psychologie im Bachelor, lebt in einer eigenen Wohnung in Köln).</w:t>
      </w:r>
    </w:p>
    <w:p>
      <w:pPr>
        <w:jc w:val="left"/>
      </w:pPr>
      <w:r>
        <w:t>Herr Dr. Voßkamp zahlt seit der Scheidung an seine geschiedene Frau einen nachehelichen Unterhalt von 1.350,00 EUR monatlich, der auf einem gerichtlich protokollierten Vergleich vom 09.03.2021 vor dem Amtsgericht Münster beruht. Er möchte diesen Unterhalt herabsetzen und zeitlich befristen lassen, weil er ihn nach fünf Jahren für unbillig hält.</w:t>
      </w:r>
    </w:p>
    <w:p>
      <w:pPr>
        <w:pStyle w:val="Heading2"/>
      </w:pPr>
      <w:r>
        <w:rPr>
          <w:rFonts w:ascii="Times New Roman" w:hAnsi="Times New Roman"/>
        </w:rPr>
        <w:t>2 Vortrag des Mandanten</w:t>
      </w:r>
    </w:p>
    <w:p>
      <w:pPr>
        <w:jc w:val="left"/>
      </w:pPr>
      <w:r>
        <w:t>Herr Dr. Voßkamp schildert, dass der Vergleich seinerzeit unter erheblichem Zeitdruck und in dem Wunsch geschlossen wurde, die Scheidung rasch abzuschließen. Er habe damals nicht hinreichend bedacht, dass der Unterhalt unbefristet laufen würde. Seine geschiedene Frau sei gelernte Bankkauffrau, arbeite inzwischen wieder im Bankwesen und lebe seit etwa zwei Jahren mit einem neuen Partner zusammen. Er habe gehört, dass dieser Partner, ein selbstständiger Steuerberater, faktisch bei ihr eingezogen sei und sie gemeinsam wirtschafteten.</w:t>
      </w:r>
    </w:p>
    <w:p>
      <w:pPr>
        <w:jc w:val="left"/>
      </w:pPr>
      <w:r>
        <w:t>Der Mandant betont, dass seine geschiedene Frau während der Ehe durchaus gearbeitet habe, wenn auch in Teilzeit, und dass die Kindererziehung längst abgeschlossen sei. Er sieht keine fortwirkenden ehebedingten Nachteile mehr. Gleichzeitig räumt er ein, dass Frau Voßkamp wegen seiner beruflichen Stationen mehrfach den Wohnort gewechselt habe und einmal eine Beförderung in der Bank ausgeschlagen habe.</w:t>
      </w:r>
    </w:p>
    <w:p>
      <w:pPr>
        <w:pStyle w:val="Heading2"/>
      </w:pPr>
      <w:r>
        <w:rPr>
          <w:rFonts w:ascii="Times New Roman" w:hAnsi="Times New Roman"/>
        </w:rPr>
        <w:t>3 Mandantenziel</w:t>
      </w:r>
    </w:p>
    <w:p>
      <w:pPr>
        <w:jc w:val="left"/>
      </w:pPr>
      <w:r>
        <w:t>Vorrangiges Ziel ist die Abänderung des Vergleichs nach § 238 FamFG mit dem Antrag auf Herabsetzung und Befristung des nachehelichen Unterhalts nach § 1578b BGB. Hilfsweise möchte der Mandant prüfen lassen, ob wegen der neuen Lebensgemeinschaft eine Verwirkung nach § 1579 Nr. 2 BGB in Betracht kommt.</w:t>
      </w:r>
    </w:p>
    <w:p>
      <w:pPr>
        <w:pStyle w:val="Heading2"/>
      </w:pPr>
      <w:r>
        <w:rPr>
          <w:rFonts w:ascii="Times New Roman" w:hAnsi="Times New Roman"/>
        </w:rPr>
        <w:t>4 Erste Einschätzung der Kanzlei</w:t>
      </w:r>
    </w:p>
    <w:p>
      <w:pPr>
        <w:jc w:val="left"/>
      </w:pPr>
      <w:r>
        <w:t>Eine Abänderung setzt eine wesentliche Veränderung der dem Vergleich zugrunde liegenden Verhältnisse voraus oder, soweit der Vergleich eine Befristung gerade offengelassen hat, dass über § 1578b BGB erstmals oder erneut entschieden werden kann. Entscheidend wird sein, ob und in welchem Umfang ehebedingte Nachteile fortwirken. Die behauptete neue Lebensgemeinschaft ist tatsächlich und in ihrer Verfestigung aufzuklären; sie kann sowohl für § 1578b BGB als auch für § 1579 Nr. 2 BGB bedeutsam sein.</w:t>
      </w:r>
    </w:p>
    <w:p>
      <w:pPr>
        <w:jc w:val="left"/>
      </w:pPr>
      <w:r>
        <w:t>Vor weiterer Bearbeitung sind die Einkommens- und Erwerbsbiografie beider Seiten, der Wortlaut des Vergleichs und die genauen Umstände der neuen Beziehung aufzuklären. Auf die Vergütung nach RVG und die Möglichkeit einer Honorarvereinbarung wurde hingewiesen.</w:t>
      </w:r>
    </w:p>
    <w:p>
      <w:pPr>
        <w:pStyle w:val="Heading2"/>
      </w:pPr>
      <w:r>
        <w:rPr>
          <w:rFonts w:ascii="Times New Roman" w:hAnsi="Times New Roman"/>
        </w:rPr>
        <w:t>5 Offene Punkte</w:t>
      </w:r>
    </w:p>
    <w:p>
      <w:pPr>
        <w:pStyle w:val="ListBullet"/>
      </w:pPr>
      <w:r>
        <w:t>Wortlaut und Protokoll des Vergleichs vom 09.03.2021 beschaffen</w:t>
      </w:r>
    </w:p>
    <w:p>
      <w:pPr>
        <w:pStyle w:val="ListBullet"/>
      </w:pPr>
      <w:r>
        <w:t>Aktuelle Einkommensauskunft beider Seiten nach § 1605 BGB</w:t>
      </w:r>
    </w:p>
    <w:p>
      <w:pPr>
        <w:pStyle w:val="ListBullet"/>
      </w:pPr>
      <w:r>
        <w:t>Aufklärung Erwerbsbiografie und ausgeschlagene Beförderung</w:t>
      </w:r>
    </w:p>
    <w:p>
      <w:pPr>
        <w:pStyle w:val="ListBullet"/>
      </w:pPr>
      <w:r>
        <w:t>Tatsächliche Verfestigung der neuen Lebensgemeinschaft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