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Einkommen der Berechtigten (Carola Voßkamp)</w:t>
      </w:r>
    </w:p>
    <w:p>
      <w:pPr>
        <w:pStyle w:val="Heading2"/>
      </w:pPr>
      <w:r>
        <w:rPr>
          <w:rFonts w:ascii="Times New Roman" w:hAnsi="Times New Roman"/>
        </w:rPr>
        <w:t>1 Grundlage</w:t>
      </w:r>
    </w:p>
    <w:p>
      <w:pPr>
        <w:jc w:val="left"/>
      </w:pPr>
      <w:r>
        <w:t>Die Angaben beruhen auf den im Scheidungsverfahren erteilten Auskünften, einer aktuellen Gehaltsabrechnung März 2026, die der Mandant in Kopie besitzt, sowie auf der Auskunft des Mandanten. Eine förmliche Auskunft nach § 1605 BGB wurde noch nicht angefordert. Alle Werte sind vorläufig und gekennzeichnet.</w:t>
      </w:r>
    </w:p>
    <w:p>
      <w:pPr>
        <w:pStyle w:val="Heading2"/>
      </w:pPr>
      <w:r>
        <w:rPr>
          <w:rFonts w:ascii="Times New Roman" w:hAnsi="Times New Roman"/>
        </w:rPr>
        <w:t>2 Erwerbstätigkeit</w:t>
      </w:r>
    </w:p>
    <w:p>
      <w:pPr>
        <w:jc w:val="left"/>
      </w:pPr>
      <w:r>
        <w:t>Frau Voßkamp ist gelernte Bankkauffrau. Sie ist seit Mai 2022 wieder bei der Westmünsterland Volksbank eG beschäftigt, zunächst mit 25 Wochenstunden, seit Januar 2025 mit 30 Wochenstunden in der Kundenberatung.</w:t>
      </w:r>
    </w:p>
    <w:p>
      <w:pPr>
        <w:pStyle w:val="ListBullet"/>
      </w:pPr>
      <w:r>
        <w:t>Bruttomonatsgehalt März 2026: rund 2.520,00 EUR bei 30 Stunden</w:t>
      </w:r>
    </w:p>
    <w:p>
      <w:pPr>
        <w:pStyle w:val="ListBullet"/>
      </w:pPr>
      <w:r>
        <w:t>Geschätztes Nettoeinkommen: rund 1.620,00 EUR monatlich (Steuerklasse I, ohne Kinderfreibeträge)</w:t>
      </w:r>
    </w:p>
    <w:p>
      <w:pPr>
        <w:pStyle w:val="ListBullet"/>
      </w:pPr>
      <w:r>
        <w:t>Zusätzliche vermögenswirksame Leistungen des Arbeitgebers: 40,00 EUR monatlich</w:t>
      </w:r>
    </w:p>
    <w:p>
      <w:pPr>
        <w:pStyle w:val="Heading2"/>
      </w:pPr>
      <w:r>
        <w:rPr>
          <w:rFonts w:ascii="Times New Roman" w:hAnsi="Times New Roman"/>
        </w:rPr>
        <w:t>3 Erwerbsobliegenheit und mögliche Aufstockung</w:t>
      </w:r>
    </w:p>
    <w:p>
      <w:pPr>
        <w:jc w:val="left"/>
      </w:pPr>
      <w:r>
        <w:t>Frau Voßkamp ist 51 Jahre alt und vollständig erwerbsfähig. Die Kinder sind volljährig und betreuungsunabhängig. Es ist deshalb zu prüfen, ob ihr eine Vollzeittätigkeit zumutbar ist und in welchem Umfang ihr ein zugerechnetes Erwerbseinkommen aus einer Aufstockung von 30 auf 38 oder 40 Wochenstunden entgegengehalten werden kann. Dies ist eng mit der Frage der ehebedingten Nachteile verbunden: Soweit die Teilzeit ehebedingt fortwirkt, scheidet eine Zurechnung aus; soweit sie auf einer freien Entscheidung beruht, kommt sie in Betracht.</w:t>
      </w:r>
    </w:p>
    <w:p>
      <w:pPr>
        <w:pStyle w:val="Heading2"/>
      </w:pPr>
      <w:r>
        <w:rPr>
          <w:rFonts w:ascii="Times New Roman" w:hAnsi="Times New Roman"/>
        </w:rPr>
        <w:t>4 Weitere Einkünfte</w:t>
      </w:r>
    </w:p>
    <w:p>
      <w:pPr>
        <w:jc w:val="left"/>
      </w:pPr>
      <w:r>
        <w:t>Der Mandant vermutet, dass Frau Voßkamp durch das Zusammenleben mit ihrem neuen Partner Wohnkostenvorteile hat und gemeinsam gewirtschaftet wird. Eigene Kapitaleinkünfte sind nicht bekannt. Ob ein Wohnvorteil oder eine Versorgung durch den Partner unterhaltsrechtlich zu berücksichtigen ist, hängt von der Verfestigung der Lebensgemeinschaft ab und ist gesondert zu prüfen.</w:t>
      </w:r>
    </w:p>
    <w:p>
      <w:pPr>
        <w:pStyle w:val="Heading2"/>
      </w:pPr>
      <w:r>
        <w:rPr>
          <w:rFonts w:ascii="Times New Roman" w:hAnsi="Times New Roman"/>
        </w:rPr>
        <w:t>5 Zwischenergebnis</w:t>
      </w:r>
    </w:p>
    <w:p>
      <w:pPr>
        <w:jc w:val="left"/>
      </w:pPr>
      <w:r>
        <w:t>Das anrechenbare Einkommen von Frau Voßkamp liegt derzeit bei rund 1.620,00 EUR netto monatlich. Bei einer zumutbaren Vollzeittätigkeit wäre ein höheres Erwerbseinkommen anzusetzen, was den Aufstockungsbedarf entsprechend reduzierte. Die Höhe einer etwaigen Zurechnung ist streitig und bildet einen Schwerpunkt der Bearbeitung.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