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Kinderbetreuung damals und heute</w:t>
      </w:r>
    </w:p>
    <w:p>
      <w:pPr>
        <w:pStyle w:val="Heading2"/>
      </w:pPr>
      <w:r>
        <w:rPr>
          <w:rFonts w:ascii="Times New Roman" w:hAnsi="Times New Roman"/>
        </w:rPr>
        <w:t>1 Zweck</w:t>
      </w:r>
    </w:p>
    <w:p>
      <w:pPr>
        <w:jc w:val="left"/>
      </w:pPr>
      <w:r>
        <w:t>Für § 1578b BGB ist von Bedeutung, in welchem Umfang die Berechtigte während der Ehe durch Kinderbetreuung an einer Erwerbstätigkeit gehindert war und ob heute noch Betreuungslasten bestehen. Bestehen keine Betreuungslasten mehr, entfällt der Betreuungsunterhalt nach § 1570 BGB; in Betracht kommt dann allenfalls Aufstockungs- oder Krankheitsunterhalt, der der Befristung nach § 1578b BGB grundsätzlich zugänglich ist.</w:t>
      </w:r>
    </w:p>
    <w:p>
      <w:pPr>
        <w:pStyle w:val="Heading2"/>
      </w:pPr>
      <w:r>
        <w:rPr>
          <w:rFonts w:ascii="Times New Roman" w:hAnsi="Times New Roman"/>
        </w:rPr>
        <w:t>2 Betreuung während der Ehe</w:t>
      </w:r>
    </w:p>
    <w:p>
      <w:pPr>
        <w:jc w:val="left"/>
      </w:pPr>
      <w:r>
        <w:t>Beide Kinder wurden in der Phase 2002 bis etwa 2012 weit überwiegend von Frau Voßkamp betreut. Herr Dr. Voßkamp leistete in dieser Zeit regelmäßig Bereitschaftsdienste und war beruflich stark eingebunden. Die Kinderbetreuung war der wesentliche Grund für die Reduzierung der Erwerbstätigkeit von Frau Voßkamp auf Teilzeit. Diese Betreuungsleistung ist im Rahmen der Billigkeitsabwägung als Gestaltung der gemeinsamen Lebensverhältnisse zu würdigen.</w:t>
      </w:r>
    </w:p>
    <w:p>
      <w:pPr>
        <w:pStyle w:val="Heading2"/>
      </w:pPr>
      <w:r>
        <w:rPr>
          <w:rFonts w:ascii="Times New Roman" w:hAnsi="Times New Roman"/>
        </w:rPr>
        <w:t>3 Betreuungssituation heute</w:t>
      </w:r>
    </w:p>
    <w:p>
      <w:pPr>
        <w:jc w:val="left"/>
      </w:pPr>
      <w:r>
        <w:t>Beide Kinder sind volljährig. Jonas ist wirtschaftlich selbstständig. Lina studiert in Köln und lebt dort in einer eigenen Wohnung. Eine fortlaufende Betreuungslast von Frau Voßkamp besteht nicht mehr. Ein Anspruch aus § 1570 BGB scheidet damit aus. Der zugrunde liegende Unterhalt ist als Aufstockungsunterhalt nach § 1573 Abs. 2 BGB einzuordnen, gegebenenfalls ergänzt um Gesichtspunkte des § 1572 BGB, falls gesundheitliche Einschränkungen geltend gemacht werden.</w:t>
      </w:r>
    </w:p>
    <w:p>
      <w:pPr>
        <w:pStyle w:val="Heading2"/>
      </w:pPr>
      <w:r>
        <w:rPr>
          <w:rFonts w:ascii="Times New Roman" w:hAnsi="Times New Roman"/>
        </w:rPr>
        <w:t>4 Bedeutung für die Befristung</w:t>
      </w:r>
    </w:p>
    <w:p>
      <w:pPr>
        <w:jc w:val="left"/>
      </w:pPr>
      <w:r>
        <w:t>Da keine Betreuungslast mehr besteht, ist der zentrale Grund, der einer Befristung typischerweise entgegensteht, entfallen. Die Billigkeitsabwägung konzentriert sich damit auf die Frage, ob fortwirkende ehebedingte Nachteile aus der Erwerbsbiografie eine fortdauernde nacheheliche Solidarität rechtfertigen oder ob nach langer Ehedauer eine reine, nachteilsunabhängige Solidaritätskomponente verbleibt, die ihrerseits zeitlich begrenzbar ist.</w:t>
      </w:r>
    </w:p>
    <w:p>
      <w:pPr>
        <w:pStyle w:val="Heading2"/>
      </w:pPr>
      <w:r>
        <w:rPr>
          <w:rFonts w:ascii="Times New Roman" w:hAnsi="Times New Roman"/>
        </w:rPr>
        <w:t>5 Zu klären</w:t>
      </w:r>
    </w:p>
    <w:p>
      <w:pPr>
        <w:jc w:val="left"/>
      </w:pPr>
      <w:r>
        <w:t>Es ist aufzuklären, ob Frau Voßkamp gesundheitliche Einschränkungen geltend macht, die eine Vollzeittätigkeit hindern. Solche Einschränkungen wären gesondert nach § 1572 BGB zu bewerten und könnten der Befristung entgegenstehen, soweit sie ehebedingt sind. Bislang liegen hierzu keine Anhaltspunkte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