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Bisheriger Unterhaltstitel (Vergleich vom 09.03.2021)</w:t>
      </w:r>
    </w:p>
    <w:p>
      <w:pPr>
        <w:pStyle w:val="Heading2"/>
      </w:pPr>
      <w:r>
        <w:rPr>
          <w:rFonts w:ascii="Times New Roman" w:hAnsi="Times New Roman"/>
        </w:rPr>
        <w:t>1 Titel</w:t>
      </w:r>
    </w:p>
    <w:p>
      <w:pPr>
        <w:jc w:val="left"/>
      </w:pPr>
      <w:r>
        <w:t>Der nacheheliche Unterhalt beruht auf einem gerichtlich protokollierten Vergleich vor dem Amtsgericht Münster, Familiengericht, vom 09.03.2021. Das Aktenzeichen ist in der Akte vermerkt und vor Verwendung an der amtlichen Quelle abzugleichen. Der Vergleich wurde im Verbund mit der Scheidung geschlossen; die Scheidung wurde am 26.03.2021 rechtskräftig.</w:t>
      </w:r>
    </w:p>
    <w:p>
      <w:pPr>
        <w:pStyle w:val="Heading2"/>
      </w:pPr>
      <w:r>
        <w:rPr>
          <w:rFonts w:ascii="Times New Roman" w:hAnsi="Times New Roman"/>
        </w:rPr>
        <w:t>2 Inhalt des Vergleichs (Arbeitswiedergabe)</w:t>
      </w:r>
    </w:p>
    <w:p>
      <w:pPr>
        <w:jc w:val="left"/>
      </w:pPr>
      <w:r>
        <w:t>Nach der dem Mandanten vorliegenden Ausfertigung verpflichtete sich Herr Dr. Voßkamp, an Frau Voßkamp einen nachehelichen Unterhalt von monatlich 1.350,00 EUR zu zahlen, zahlbar monatlich im Voraus. Der Unterhalt ist als nachehelicher Aufstockungsunterhalt bezeichnet. Eine Wertsicherungsklausel oder Dynamisierung enthält der Vergleich nach derzeitigem Stand nicht.</w:t>
      </w:r>
    </w:p>
    <w:p>
      <w:pPr>
        <w:pStyle w:val="Heading2"/>
      </w:pPr>
      <w:r>
        <w:rPr>
          <w:rFonts w:ascii="Times New Roman" w:hAnsi="Times New Roman"/>
        </w:rPr>
        <w:t>3 Zentrale Auslegungsfrage zur Befristung</w:t>
      </w:r>
    </w:p>
    <w:p>
      <w:pPr>
        <w:jc w:val="left"/>
      </w:pPr>
      <w:r>
        <w:t>Entscheidend für die Abänderbarkeit ist, ob der Vergleich eine Aussage zur Befristung oder Herabsetzung nach § 1578b BGB trifft. Drei Varianten sind denkbar und nach dem genauen Wortlaut zu unterscheiden.</w:t>
      </w:r>
    </w:p>
    <w:p>
      <w:pPr>
        <w:jc w:val="left"/>
      </w:pPr>
      <w:r>
        <w:t>3.1 Der Vergleich schweigt zur Befristung. Dann ist im Wege der Auslegung zu ermitteln, ob die Befristungsfrage bewusst offengehalten wurde oder ob die Beteiligten eine unbefristete Regelung wollten. Bei offengehaltener Frage ist eine spätere Befristung über § 238 FamFG leichter zugänglich.</w:t>
      </w:r>
    </w:p>
    <w:p>
      <w:pPr>
        <w:jc w:val="left"/>
      </w:pPr>
      <w:r>
        <w:t>3.2 Der Vergleich enthält einen ausdrücklichen Vorbehalt der Befristung oder Herabsetzung. Dann kann die Befristung im Abänderungsverfahren ohne weiteres geltend gemacht werden, ohne dass eine wesentliche Veränderung der Verhältnisse erforderlich ist.</w:t>
      </w:r>
    </w:p>
    <w:p>
      <w:pPr>
        <w:jc w:val="left"/>
      </w:pPr>
      <w:r>
        <w:t>3.3 Der Vergleich schließt eine Befristung ausdrücklich aus oder regelt sie abschließend. Dann ist eine Abänderung nur bei einer wesentlichen, nicht vorhergesehenen Veränderung der Verhältnisse möglich.</w:t>
      </w:r>
    </w:p>
    <w:p>
      <w:pPr>
        <w:pStyle w:val="Heading2"/>
      </w:pPr>
      <w:r>
        <w:rPr>
          <w:rFonts w:ascii="Times New Roman" w:hAnsi="Times New Roman"/>
        </w:rPr>
        <w:t>4 Folge für das weitere Vorgehen</w:t>
      </w:r>
    </w:p>
    <w:p>
      <w:pPr>
        <w:jc w:val="left"/>
      </w:pPr>
      <w:r>
        <w:t>Der vollständige Wortlaut des Protokolls ist beim Amtsgericht Münster anzufordern. Erst danach kann beurteilt werden, ob der Abänderungsantrag allein auf § 1578b BGB gestützt werden kann oder ob zusätzlich eine wesentliche Veränderung darzulegen ist. Die behauptete neue Lebensgemeinschaft und der Wegfall der Kinderbetreuung wären solche Veränderungen, ebenso die seit 2021 gestiegene Erwerbstätigkeit von Frau Voßkamp.</w:t>
      </w:r>
    </w:p>
    <w:p>
      <w:pPr>
        <w:pStyle w:val="Heading2"/>
      </w:pPr>
      <w:r>
        <w:rPr>
          <w:rFonts w:ascii="Times New Roman" w:hAnsi="Times New Roman"/>
        </w:rPr>
        <w:t>5 Hinweis zur Präklusion</w:t>
      </w:r>
    </w:p>
    <w:p>
      <w:pPr>
        <w:jc w:val="left"/>
      </w:pPr>
      <w:r>
        <w:t>Soweit Umstände bereits bei Vergleichsschluss bekannt waren und bewusst nicht geregelt wurden, kann eine Berufung auf diese Umstände im Abänderungsverfahren ausgeschlossen sein. Es ist deshalb zu klären, was den Beteiligten 2021 bekannt war, insbesondere zur damaligen Erwerbsperspektive von Frau Voßkamp.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