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Abänderungs- und Befristungsbegehren (verfahrensrechtlicher Rahmen)</w:t>
      </w:r>
    </w:p>
    <w:p>
      <w:pPr>
        <w:pStyle w:val="Heading2"/>
      </w:pPr>
      <w:r>
        <w:rPr>
          <w:rFonts w:ascii="Times New Roman" w:hAnsi="Times New Roman"/>
        </w:rPr>
        <w:t>1 Statthafter Rechtsbehelf</w:t>
      </w:r>
    </w:p>
    <w:p>
      <w:pPr>
        <w:jc w:val="left"/>
      </w:pPr>
      <w:r>
        <w:t>Da der Unterhalt auf einem gerichtlich protokollierten Vergleich beruht, ist der statthafte Rechtsbehelf der Abänderungsantrag nach § 239 FamFG in Verbindung mit den materiellen Voraussetzungen des § 1578b BGB. Beruhte der Titel auf einem Beschluss, wäre § 238 FamFG einschlägig. Die genaue Einordnung des Titels als Vergleich oder Beschluss ist nach dem Protokoll zu prüfen; bis zur Klärung wird vom Vergleich ausgegangen.</w:t>
      </w:r>
    </w:p>
    <w:p>
      <w:pPr>
        <w:pStyle w:val="Heading2"/>
      </w:pPr>
      <w:r>
        <w:rPr>
          <w:rFonts w:ascii="Times New Roman" w:hAnsi="Times New Roman"/>
        </w:rPr>
        <w:t>2 Materielles Begehren</w:t>
      </w:r>
    </w:p>
    <w:p>
      <w:pPr>
        <w:jc w:val="left"/>
      </w:pPr>
      <w:r>
        <w:t>Beantragt werden soll die Herabsetzung des nachehelichen Unterhalts und seine zeitliche Begrenzung. § 1578b BGB kennt zwei Rechtsfolgen, die einzeln oder kumulativ in Betracht kommen.</w:t>
      </w:r>
    </w:p>
    <w:p>
      <w:pPr>
        <w:jc w:val="left"/>
      </w:pPr>
      <w:r>
        <w:t>2.1 Herabsetzung nach § 1578b Abs. 1 BGB. Der Unterhalt wird vom Maßstab der ehelichen Lebensverhältnisse auf den angemessenen Lebensbedarf abgesenkt, soweit ein an den ehelichen Lebensverhältnissen orientierter Unterhalt unbillig wäre.</w:t>
      </w:r>
    </w:p>
    <w:p>
      <w:pPr>
        <w:jc w:val="left"/>
      </w:pPr>
      <w:r>
        <w:t>2.2 Befristung nach § 1578b Abs. 2 BGB. Der Unterhalt wird zeitlich begrenzt, soweit ein zeitlich unbegrenzter Unterhalt unbillig wäre.</w:t>
      </w:r>
    </w:p>
    <w:p>
      <w:pPr>
        <w:pStyle w:val="Heading2"/>
      </w:pPr>
      <w:r>
        <w:rPr>
          <w:rFonts w:ascii="Times New Roman" w:hAnsi="Times New Roman"/>
        </w:rPr>
        <w:t>3 Billigkeitsmaßstab</w:t>
      </w:r>
    </w:p>
    <w:p>
      <w:pPr>
        <w:jc w:val="left"/>
      </w:pPr>
      <w:r>
        <w:t>Maßstab ist in beiden Fällen, ob ehebedingte Nachteile fortwirken. Liegen solche Nachteile vor, sind Herabsetzung und Befristung regelmäßig nur eingeschränkt möglich. Fehlt es an fortwirkenden ehebedingten Nachteilen, ist die nacheheliche Solidarität nach langer Ehe gleichwohl zu berücksichtigen, kann aber zeitlich begrenzt werden. Die lange Ehedauer von über zwanzig Jahren ist ein gewichtiger, aber nicht allein entscheidender Belang.</w:t>
      </w:r>
    </w:p>
    <w:p>
      <w:pPr>
        <w:pStyle w:val="Heading2"/>
      </w:pPr>
      <w:r>
        <w:rPr>
          <w:rFonts w:ascii="Times New Roman" w:hAnsi="Times New Roman"/>
        </w:rPr>
        <w:t>4 Veränderungen seit 2021</w:t>
      </w:r>
    </w:p>
    <w:p>
      <w:pPr>
        <w:jc w:val="left"/>
      </w:pPr>
      <w:r>
        <w:t>Folgende Veränderungen sind seit Vergleichsschluss eingetreten und für das Begehren relevant.</w:t>
      </w:r>
    </w:p>
    <w:p>
      <w:pPr>
        <w:pStyle w:val="ListBullet"/>
      </w:pPr>
      <w:r>
        <w:t>Frau Voßkamp hat ihre Erwerbstätigkeit von Teilzeit auf 30 Wochenstunden ausgeweitet</w:t>
      </w:r>
    </w:p>
    <w:p>
      <w:pPr>
        <w:pStyle w:val="ListBullet"/>
      </w:pPr>
      <w:r>
        <w:t>Die Kinder sind inzwischen vollständig betreuungsunabhängig</w:t>
      </w:r>
    </w:p>
    <w:p>
      <w:pPr>
        <w:pStyle w:val="ListBullet"/>
      </w:pPr>
      <w:r>
        <w:t>Frau Voßkamp lebt nach Vortrag des Mandanten seit etwa zwei Jahren in einer neuen Lebensgemeinschaft</w:t>
      </w:r>
    </w:p>
    <w:p>
      <w:pPr>
        <w:pStyle w:val="ListBullet"/>
      </w:pPr>
      <w:r>
        <w:t>Seit der Scheidung sind über fünf Jahre vergangen, in denen eine wirtschaftliche Verselbstständigung möglich war</w:t>
      </w:r>
    </w:p>
    <w:p>
      <w:pPr>
        <w:pStyle w:val="Heading2"/>
      </w:pPr>
      <w:r>
        <w:rPr>
          <w:rFonts w:ascii="Times New Roman" w:hAnsi="Times New Roman"/>
        </w:rPr>
        <w:t>5 Zielkorridor</w:t>
      </w:r>
    </w:p>
    <w:p>
      <w:pPr>
        <w:jc w:val="left"/>
      </w:pPr>
      <w:r>
        <w:t>Vorrangig wird eine stufenweise Herabsetzung mit anschließendem Auslaufen des Unterhalts angestrebt. Ein realistischer Zielkorridor und die Argumente hierfür sind im Strategiepapier (Stück 15) niedergelegt. Verfahrensrechtlich ist zu beachten, dass eine Befristung in der Vergangenheit nicht rückwirkend, sondern erst ab Rechtshängigkeit des Abänderungsantrags wirken kann.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