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Bedarf nach den ehelichen Lebensverhältnissen</w:t>
      </w:r>
    </w:p>
    <w:p>
      <w:pPr>
        <w:pStyle w:val="Heading2"/>
      </w:pPr>
      <w:r>
        <w:rPr>
          <w:rFonts w:ascii="Times New Roman" w:hAnsi="Times New Roman"/>
        </w:rPr>
        <w:t>1 Maßstab</w:t>
      </w:r>
    </w:p>
    <w:p>
      <w:pPr>
        <w:jc w:val="left"/>
      </w:pPr>
      <w:r>
        <w:t>Der Bedarf des nachehelichen Unterhalts bemisst sich nach § 1578 Abs. 1 BGB nach den ehelichen Lebensverhältnissen. Diese werden durch das prägende Einkommen beider Eheleute zur Zeit der Rechtskraft der Scheidung bestimmt, fortentwickelt um Veränderungen, die bereits in der Ehe angelegt waren. Im Rahmen des § 1578b BGB kann dieser Bedarf auf den angemessenen Lebensbedarf abgesenkt werden.</w:t>
      </w:r>
    </w:p>
    <w:p>
      <w:pPr>
        <w:pStyle w:val="Heading2"/>
      </w:pPr>
      <w:r>
        <w:rPr>
          <w:rFonts w:ascii="Times New Roman" w:hAnsi="Times New Roman"/>
        </w:rPr>
        <w:t>2 Prägende Einkommen</w:t>
      </w:r>
    </w:p>
    <w:p>
      <w:pPr>
        <w:jc w:val="left"/>
      </w:pPr>
      <w:r>
        <w:t>Zur Zeit der Scheidung waren folgende Einkommen prägend (Arbeitswerte).</w:t>
      </w:r>
    </w:p>
    <w:p>
      <w:pPr>
        <w:pStyle w:val="ListBullet"/>
      </w:pPr>
      <w:r>
        <w:t>Herr Dr. Voßkamp: bereinigtes Nettoeinkommen 2020 rund 4.500,00 EUR monatlich</w:t>
      </w:r>
    </w:p>
    <w:p>
      <w:pPr>
        <w:pStyle w:val="ListBullet"/>
      </w:pPr>
      <w:r>
        <w:t>Frau Voßkamp: zur Zeit der Scheidung geringes Teilzeiteinkommen, im Wiedereinstieg</w:t>
      </w:r>
    </w:p>
    <w:p>
      <w:pPr>
        <w:jc w:val="left"/>
      </w:pPr>
      <w:r>
        <w:t>Der Vergleich von 2021 setzte auf dieser Grundlage einen Aufstockungsunterhalt von 1.350,00 EUR an. Dieser Betrag entspricht in der Größenordnung dem damaligen Halbteilungsergebnis unter Berücksichtigung des Erwerbstätigenbonus.</w:t>
      </w:r>
    </w:p>
    <w:p>
      <w:pPr>
        <w:pStyle w:val="Heading2"/>
      </w:pPr>
      <w:r>
        <w:rPr>
          <w:rFonts w:ascii="Times New Roman" w:hAnsi="Times New Roman"/>
        </w:rPr>
        <w:t>3 Bedarfsberechnung nach Halbteilung (Arbeitswert)</w:t>
      </w:r>
    </w:p>
    <w:p>
      <w:pPr>
        <w:jc w:val="left"/>
      </w:pPr>
      <w:r>
        <w:t>Die nachfolgende Rechnung ist eine vereinfachte Arbeitsrechnung zur Veranschaulichung und ersetzt keine vollständige Bereinigung.</w:t>
      </w:r>
    </w:p>
    <w:p>
      <w:pPr>
        <w:pStyle w:val="ListBullet"/>
      </w:pPr>
      <w:r>
        <w:t>Bereinigtes Einkommen Pflichtiger (heute, vorläufig): 4.700,00 EUR</w:t>
      </w:r>
    </w:p>
    <w:p>
      <w:pPr>
        <w:pStyle w:val="ListBullet"/>
      </w:pPr>
      <w:r>
        <w:t>Bereinigtes Einkommen Berechtigte (heute, tatsächlich): 1.620,00 EUR</w:t>
      </w:r>
    </w:p>
    <w:p>
      <w:pPr>
        <w:pStyle w:val="ListBullet"/>
      </w:pPr>
      <w:r>
        <w:t>Erwerbstätigenbonus: nach den unterhaltsrechtlichen Leitlinien anzusetzen, Arbeitswert ein Zehntel, Stand zu verifizieren</w:t>
      </w:r>
    </w:p>
    <w:p>
      <w:pPr>
        <w:jc w:val="left"/>
      </w:pPr>
      <w:r>
        <w:t>Differenz vor Bonus: 4.700,00 EUR minus 1.620,00 EUR gleich 3.080,00 EUR. Hälftiger Betrag: 1.540,00 EUR. Nach Abzug eines Erwerbstätigenbonus liegt der rechnerische Aufstockungsbedarf in der Größenordnung von rund 1.380,00 EUR und damit nahe am Titelbetrag.</w:t>
      </w:r>
    </w:p>
    <w:p>
      <w:pPr>
        <w:pStyle w:val="Heading2"/>
      </w:pPr>
      <w:r>
        <w:rPr>
          <w:rFonts w:ascii="Times New Roman" w:hAnsi="Times New Roman"/>
        </w:rPr>
        <w:t>4 Wirkung der Befristung und Herabsetzung</w:t>
      </w:r>
    </w:p>
    <w:p>
      <w:pPr>
        <w:jc w:val="left"/>
      </w:pPr>
      <w:r>
        <w:t>Die vorstehende Rechnung bildet den vollen, an den ehelichen Lebensverhältnissen orientierten Bedarf ab. § 1578b Abs. 1 BGB erlaubt die Absenkung auf den angemessenen Lebensbedarf, der sich an dem orientiert, was die Berechtigte ohne die Ehe erreicht hätte. Liegt der angemessene Lebensbedarf unter dem vollen Bedarf, ist die Differenz der Spielraum für die Herabsetzung. Diese Differenz ist mit den Werten zur hypothetischen Erwerbsbiografie zu unterlegen (Stück 5 und Stück 12).</w:t>
      </w:r>
    </w:p>
    <w:p>
      <w:pPr>
        <w:pStyle w:val="Heading2"/>
      </w:pPr>
      <w:r>
        <w:rPr>
          <w:rFonts w:ascii="Times New Roman" w:hAnsi="Times New Roman"/>
        </w:rPr>
        <w:t>5 Hinweis</w:t>
      </w:r>
    </w:p>
    <w:p>
      <w:pPr>
        <w:jc w:val="left"/>
      </w:pPr>
      <w:r>
        <w:t>Alle Beträge sind Arbeitswerte und beruhen teilweise auf Schätzungen, solange die förmliche Auskunft der Gegenseite nach § 1605 BGB nicht vorliegt. Die endgültige Bedarfsberechnung ist erst nach vollständiger Belegvorlage möglich.</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