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Projektbeschreibung Joint Venture Windsysteme / Eickmann</w:t>
      </w:r>
    </w:p>
    <w:p>
      <w:pPr>
        <w:jc w:val="left"/>
      </w:pPr>
      <w:r>
        <w:rPr>
          <w:b/>
        </w:rPr>
        <w:t>AZ:</w:t>
      </w:r>
      <w:r>
        <w:t xml:space="preserve"> MR-2026-1118</w:t>
      </w:r>
    </w:p>
    <w:p>
      <w:pPr>
        <w:jc w:val="left"/>
      </w:pPr>
      <w:r>
        <w:rPr>
          <w:b/>
        </w:rPr>
        <w:t>Stand:</w:t>
      </w:r>
      <w:r>
        <w:t xml:space="preserve"> 16. Januar 2026</w:t>
      </w:r>
    </w:p>
    <w:p>
      <w:pPr>
        <w:jc w:val="left"/>
      </w:pPr>
      <w:r>
        <w:rPr>
          <w:b/>
        </w:rPr>
        <w:t>Verfasser:</w:t>
      </w:r>
      <w:r>
        <w:t xml:space="preserve"> RA Dr. Mark Roosendaal</w:t>
      </w:r>
    </w:p>
    <w:p/>
    <w:p>
      <w:pPr>
        <w:pStyle w:val="Heading2"/>
      </w:pPr>
      <w:r>
        <w:rPr>
          <w:rFonts w:ascii="Times New Roman" w:hAnsi="Times New Roman"/>
        </w:rPr>
        <w:t>1. Hintergrund und Projektziel</w:t>
      </w:r>
    </w:p>
    <w:p>
      <w:pPr>
        <w:jc w:val="left"/>
      </w:pPr>
      <w:r>
        <w:t>Die Windsysteme Norderhof AG (gegründet 1994, Norderstedt) zählt zu den führenden deutschen Herstellern von Hochleistungsgetrieben und Rotornabensystemen für Offshore-Windkraftanlagen. Das Unternehmen beschäftigt rund 1.100 Mitarbeiter und erzielte im Geschäftsjahr 2025 einen Umsatz von ca. 312 Mio. EUR.</w:t>
      </w:r>
    </w:p>
    <w:p>
      <w:pPr>
        <w:jc w:val="left"/>
      </w:pPr>
      <w:r>
        <w:t>Eickmann Wirtschaftspartner Pte. Ltd. ist eine 2017 in Singapur gegründete Investitions- und Handelsgesellschaft mit Schwerpunkt im Energieanlagenvertrieb in Süd- und Südostasien sowie dem Nahen Osten. Das Unternehmen hält u.a. Beteiligungen an einem iranischen Energiedienstleister (Mehr Novin Energy Co., Teheran).</w:t>
      </w:r>
    </w:p>
    <w:p>
      <w:pPr>
        <w:jc w:val="left"/>
      </w:pPr>
      <w:r>
        <w:t xml:space="preserve">Das geplante Joint Venture (Arbeitstitel: </w:t>
      </w:r>
      <w:r>
        <w:rPr>
          <w:b/>
        </w:rPr>
        <w:t>WindAsia Pte. Ltd.</w:t>
      </w:r>
      <w:r>
        <w:t>) soll Offshore-Windgetriebe und Rotorkomponenten aus Norderstedt an Projekte in Malaysia, Vietnam und — vorbehaltlich der exportkontrollrechtlichen Genehmigung — in Iran liefern.</w:t>
      </w:r>
    </w:p>
    <w:p/>
    <w:p>
      <w:pPr>
        <w:pStyle w:val="Heading2"/>
      </w:pPr>
      <w:r>
        <w:rPr>
          <w:rFonts w:ascii="Times New Roman" w:hAnsi="Times New Roman"/>
        </w:rPr>
        <w:t>2. Geplante JV-Struktur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JV-Name (vorläufig)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WindAsia Pte. Ltd., Singapur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Beteiligung Windsysteme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51 %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Beteiligung Eickmann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49 %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Stammkapital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SGD 5 Mio.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Singapur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Geschäftsführung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Windsysteme nominiert CEO; Eickmann nominiert CFO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Anwendbares Recht (JV)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Singapur Companies Act, Cap. 50</w:t>
            </w:r>
          </w:p>
        </w:tc>
      </w:tr>
    </w:tbl>
    <w:p>
      <w:pPr>
        <w:jc w:val="left"/>
      </w:pPr>
      <w:r>
        <w:t>Das Joint-Venture-Hauptvertrag soll separat verhandelt werden. Die vorliegend zu prüfende NDA regelt den Informationsaustausch in der vorvertraglichen Due-Diligence-Phase sowie den ersten 24 Monaten der JV-Zusammenarbeit.</w:t>
      </w:r>
    </w:p>
    <w:p/>
    <w:p>
      <w:pPr>
        <w:pStyle w:val="Heading2"/>
      </w:pPr>
      <w:r>
        <w:rPr>
          <w:rFonts w:ascii="Times New Roman" w:hAnsi="Times New Roman"/>
        </w:rPr>
        <w:t>3. Zu schützende Informationen von Windsysteme</w:t>
      </w:r>
    </w:p>
    <w:p>
      <w:pPr>
        <w:jc w:val="left"/>
      </w:pPr>
      <w:r>
        <w:t>Die folgenden Informationskategorien der Windsysteme Norderhof AG sind im Rahmen der Due Diligence und späteren JV-Zusammenarbeit betroffen und unterliegen der NDA:</w:t>
      </w:r>
    </w:p>
    <w:p>
      <w:pPr>
        <w:pStyle w:val="ListBullet"/>
      </w:pPr>
      <w:r>
        <w:t>Konstruktionspläne und CAD-Daten für Offshore-Getriebe-Baureihe WN-7000 und WN-9500.</w:t>
      </w:r>
    </w:p>
    <w:p>
      <w:pPr>
        <w:pStyle w:val="ListBullet"/>
      </w:pPr>
      <w:r>
        <w:t>Lieferantenstruktur und Einkaufskonditionen (strategische Zulieferer).</w:t>
      </w:r>
    </w:p>
    <w:p>
      <w:pPr>
        <w:pStyle w:val="ListBullet"/>
      </w:pPr>
      <w:r>
        <w:t>Kalkulationsgrundlagen und Kostenstruktur der Produktion Norderstedt.</w:t>
      </w:r>
    </w:p>
    <w:p>
      <w:pPr>
        <w:pStyle w:val="ListBullet"/>
      </w:pPr>
      <w:r>
        <w:t>Know-how der Rotornaben-Beschichtungstechnologie (Eigenentwicklung, nicht patentiert).</w:t>
      </w:r>
    </w:p>
    <w:p>
      <w:pPr>
        <w:pStyle w:val="ListBullet"/>
      </w:pPr>
      <w:r>
        <w:t>IT-Infrastruktur-Dokumentation und Netzwerktopologie-Pläne.</w:t>
      </w:r>
    </w:p>
    <w:p>
      <w:pPr>
        <w:pStyle w:val="ListBullet"/>
      </w:pPr>
      <w:r>
        <w:t>Kundenlisten und Projektpipeline für Asien-Pazifik.</w:t>
      </w:r>
    </w:p>
    <w:p/>
    <w:p>
      <w:pPr>
        <w:pStyle w:val="Heading2"/>
      </w:pPr>
      <w:r>
        <w:rPr>
          <w:rFonts w:ascii="Times New Roman" w:hAnsi="Times New Roman"/>
        </w:rPr>
        <w:t>4. Zu schützende Informationen von Eickmann</w:t>
      </w:r>
    </w:p>
    <w:p>
      <w:pPr>
        <w:pStyle w:val="ListBullet"/>
      </w:pPr>
      <w:r>
        <w:t>Vertriebsnetzwerk und Kontakte zu staatlichen Energieunternehmen in Malaysia, Vietnam und Iran.</w:t>
      </w:r>
    </w:p>
    <w:p>
      <w:pPr>
        <w:pStyle w:val="ListBullet"/>
      </w:pPr>
      <w:r>
        <w:t>Finanzierungsstruktur für Projektfinanzierungen.</w:t>
      </w:r>
    </w:p>
    <w:p>
      <w:pPr>
        <w:pStyle w:val="ListBullet"/>
      </w:pPr>
      <w:r>
        <w:t>Bezugskonditionen bei lokalen Komponentenlieferanten.</w:t>
      </w:r>
    </w:p>
    <w:p/>
    <w:p>
      <w:pPr>
        <w:pStyle w:val="Heading2"/>
      </w:pPr>
      <w:r>
        <w:rPr>
          <w:rFonts w:ascii="Times New Roman" w:hAnsi="Times New Roman"/>
        </w:rPr>
        <w:t>5. Exportkontroll-Dimension</w:t>
      </w:r>
    </w:p>
    <w:p>
      <w:pPr>
        <w:jc w:val="left"/>
      </w:pPr>
      <w:r>
        <w:t>Das Iran-Pilotprojekt (Windturbinengetriebe für den staatlichen Energieträger MAPNA Group) ist exportkontrollrechtlich komplex:</w:t>
      </w:r>
    </w:p>
    <w:p>
      <w:pPr>
        <w:pStyle w:val="ListBullet"/>
      </w:pPr>
      <w:r>
        <w:t>AWG § 4, § 17; AWV; Anhang I der EU-Dual-Use-VO (VO (EG) 428/2009 n.F.); Iran-spezifisch: VO (EU) 267/2012 (Nuklearsanktionen) sowie VO (EU) 833/2014 (Russland-Sanktionen, subsidiär relevant).</w:t>
      </w:r>
    </w:p>
    <w:p>
      <w:pPr>
        <w:pStyle w:val="ListBullet"/>
      </w:pPr>
      <w:r>
        <w:t>Windturbinengetriebe können als Dual-Use-Gut eingestuft werden (EG-Nr. 2B350 prüfungsbedürftig).</w:t>
      </w:r>
    </w:p>
    <w:p>
      <w:pPr>
        <w:pStyle w:val="ListBullet"/>
      </w:pPr>
      <w:r>
        <w:t>BAFA-Vorabauskunft wurde am 18. Januar 2026 unter Az. 4022-26/Iran-WS-188 gestellt.</w:t>
      </w:r>
    </w:p>
    <w:p>
      <w:pPr>
        <w:jc w:val="left"/>
      </w:pPr>
      <w:r>
        <w:t>Das Ergebnis der BAFA-Vorabauskunft ist Bedingung für den Abschluss des JV-Vertrags; die NDA-Verpflichtungen gelten bereits für die vorvertragliche Phase.</w:t>
      </w:r>
    </w:p>
    <w:p/>
    <w:p>
      <w:pPr>
        <w:pStyle w:val="Heading2"/>
      </w:pPr>
      <w:r>
        <w:rPr>
          <w:rFonts w:ascii="Times New Roman" w:hAnsi="Times New Roman"/>
        </w:rPr>
        <w:t>6.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NDA v1 durch Eickmann übermittelt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Mandatsannahme Kanzlei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BAFA-Vorabauskunft gestellt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Gegenentwurf Windsysteme (v2)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Verhandlungstag 1, Singapur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Verhandlungstag 2, Singapur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NDA v7 paraphiert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JV-Hauptvertrag (Ziel)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Q3 2026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