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03 — NDA-Entwurf Eickmann Wirtschaftspartner Pte. Ltd., Version 1</w:t>
      </w:r>
    </w:p>
    <w:p>
      <w:pPr>
        <w:jc w:val="left"/>
      </w:pPr>
      <w:r>
        <w:rPr>
          <w:b/>
        </w:rPr>
        <w:t>AZ:</w:t>
      </w:r>
      <w:r>
        <w:t xml:space="preserve"> MR-2026-1118</w:t>
      </w:r>
    </w:p>
    <w:p>
      <w:pPr>
        <w:jc w:val="left"/>
      </w:pPr>
      <w:r>
        <w:rPr>
          <w:b/>
        </w:rPr>
        <w:t>Dokument:</w:t>
      </w:r>
      <w:r>
        <w:t xml:space="preserve"> Eickmann NDA Draft v1 (08.01.2026)</w:t>
      </w:r>
    </w:p>
    <w:p>
      <w:pPr>
        <w:jc w:val="left"/>
      </w:pPr>
      <w:r>
        <w:rPr>
          <w:b/>
        </w:rPr>
        <w:t>Analysiert von:</w:t>
      </w:r>
      <w:r>
        <w:t xml:space="preserve"> RA Dr. Mark Roosendaal, 17.–20. Januar 2026</w:t>
      </w:r>
    </w:p>
    <w:p/>
    <w:p>
      <w:pPr>
        <w:pStyle w:val="Heading2"/>
      </w:pPr>
      <w:r>
        <w:rPr>
          <w:rFonts w:ascii="Times New Roman" w:hAnsi="Times New Roman"/>
        </w:rPr>
        <w:t>Präambel des Eickmann-Entwurfs (interne Paraphrase)</w:t>
      </w:r>
    </w:p>
    <w:p>
      <w:pPr>
        <w:jc w:val="left"/>
      </w:pPr>
      <w:r>
        <w:t>Eickmann legt einen 22-Paragrafen umfassenden NDA-Entwurf nach Singapurer Vertragsrecht vor, der im Wesentlichen auf einem von Eickmanns US-amerikanischen Beratern (Kanzlei Harrington &amp; Weld LLP, New York) entwickelten Template basiert. Die Sprache des Entwurfs ist Englisch; Eickmann verweist darauf, dass der Vertrag ausschließlich der englischen Fassung maßgeblich sein soll.</w:t>
      </w:r>
    </w:p>
    <w:p/>
    <w:p>
      <w:pPr>
        <w:pStyle w:val="Heading2"/>
      </w:pPr>
      <w:r>
        <w:rPr>
          <w:rFonts w:ascii="Times New Roman" w:hAnsi="Times New Roman"/>
        </w:rPr>
        <w:t>Transkription ausgewählter Klauseln (Originalwortlaut, Auszug DE-Übersetzung)</w:t>
      </w:r>
    </w:p>
    <w:p>
      <w:pPr>
        <w:pStyle w:val="Heading3"/>
      </w:pPr>
      <w:r>
        <w:rPr>
          <w:rFonts w:ascii="Times New Roman" w:hAnsi="Times New Roman"/>
        </w:rPr>
        <w:t>Clause 3 — Definition of Confidential Information</w:t>
      </w:r>
    </w:p>
    <w:p>
      <w:pPr>
        <w:ind w:left="567"/>
      </w:pPr>
      <w:r>
        <w:rPr>
          <w:i/>
        </w:rPr>
        <w:t>"Confidential Information" means any and all information, data, know-how, trade secrets, business plans, financial information, customer lists, technical specifications, drawings, designs, processes, and any other information disclosed by either Party to the other Party in connection with the Purpose, whether disclosed in writing, orally, electronically, or by inspection of tangible objects, including without limitation all analyses, compilations, studies, summaries, and other materials that contain, reflect, or are generated from the Confidential Information.</w:t>
      </w:r>
    </w:p>
    <w:p>
      <w:pPr>
        <w:jc w:val="left"/>
      </w:pPr>
      <w:r>
        <w:rPr>
          <w:b/>
        </w:rPr>
        <w:t>Roosendaal-Anmerkung:</w:t>
      </w:r>
      <w:r>
        <w:t xml:space="preserve"> Keine Ausnahmen für öffentlich bekannte Informationen oder solche, die der Empfänger eigenständig entwickelt hat. Klausel bedarf zwingend einer Ausnahmeliste.</w:t>
      </w:r>
    </w:p>
    <w:p/>
    <w:p>
      <w:pPr>
        <w:pStyle w:val="Heading3"/>
      </w:pPr>
      <w:r>
        <w:rPr>
          <w:rFonts w:ascii="Times New Roman" w:hAnsi="Times New Roman"/>
        </w:rPr>
        <w:t>Clause 5 — Residual Information</w:t>
      </w:r>
    </w:p>
    <w:p>
      <w:pPr>
        <w:ind w:left="567"/>
      </w:pPr>
      <w:r>
        <w:rPr>
          <w:i/>
        </w:rPr>
        <w:t>"Notwithstanding any other provision of this Agreement, either Party (the "Recipient") may use Residual Information for any purpose. 'Residual Information' means information in non-tangible form that may be retained in the unaided memory of Recipient's Representatives who have had access to Confidential Information, including ideas, concepts, know-how, or techniques contained therein. The Recipient shall have no obligation to limit or restrict the assignment of such Representatives or to pay royalties for any use of Residual Information."</w:t>
      </w:r>
    </w:p>
    <w:p>
      <w:pPr>
        <w:jc w:val="left"/>
      </w:pPr>
      <w:r>
        <w:rPr>
          <w:b/>
        </w:rPr>
        <w:t>Roosendaal-Anmerkung (KRITISCH):</w:t>
      </w:r>
      <w:r>
        <w:t xml:space="preserve"> Diese Klausel ist für Windsysteme nicht akzeptabel. Sie erlaubt Eickmanns Mitarbeitern, sämtliches im Gedächtnis behaltenes technisches Know-how der Windsysteme frei zu verwenden. Dies steht im direkten Widerspruch zu § 2 Nr. 1 GeschGehG (Schutz von Geschäftsgeheimnissen). Die Klausel muss gestrichen werden.</w:t>
      </w:r>
    </w:p>
    <w:p/>
    <w:p>
      <w:pPr>
        <w:pStyle w:val="Heading3"/>
      </w:pPr>
      <w:r>
        <w:rPr>
          <w:rFonts w:ascii="Times New Roman" w:hAnsi="Times New Roman"/>
        </w:rPr>
        <w:t>Clause 7 — Term</w:t>
      </w:r>
    </w:p>
    <w:p>
      <w:pPr>
        <w:ind w:left="567"/>
      </w:pPr>
      <w:r>
        <w:rPr>
          <w:i/>
        </w:rPr>
        <w:t>"This Agreement shall be effective as of the Effective Date and shall continue in full force and effect for a period of seven (7) years thereafter, unless earlier terminated by mutual written consent of the Parties."</w:t>
      </w:r>
    </w:p>
    <w:p>
      <w:pPr>
        <w:jc w:val="left"/>
      </w:pPr>
      <w:r>
        <w:rPr>
          <w:b/>
        </w:rPr>
        <w:t>Roosendaal-Anmerkung:</w:t>
      </w:r>
      <w:r>
        <w:t xml:space="preserve"> Laufzeit 7 Jahre für eine vorvertragliche NDA ist ungewöhnlich lang; Windsysteme-Position: maximal 3 Jahre, mit Option auf Verlängerung um 2 Jahre.</w:t>
      </w:r>
    </w:p>
    <w:p/>
    <w:p>
      <w:pPr>
        <w:pStyle w:val="Heading3"/>
      </w:pPr>
      <w:r>
        <w:rPr>
          <w:rFonts w:ascii="Times New Roman" w:hAnsi="Times New Roman"/>
        </w:rPr>
        <w:t>Clause 9 — Liquidated Damages / Vertragsstrafe</w:t>
      </w:r>
    </w:p>
    <w:p>
      <w:pPr>
        <w:ind w:left="567"/>
      </w:pPr>
      <w:r>
        <w:rPr>
          <w:i/>
        </w:rPr>
        <w:t>"In the event of any breach of this Agreement by the Recipient, the Recipient shall pay to the Disclosing Party a sum of EUR 250,000 (two hundred and fifty thousand Euro) per breach as liquidated damages. The Parties acknowledge that the actual damages from any breach would be difficult to ascertain and agree that the foregoing liquidated damages provision is a reasonable estimate of the harm that would be suffered."</w:t>
      </w:r>
    </w:p>
    <w:p>
      <w:pPr>
        <w:jc w:val="left"/>
      </w:pPr>
      <w:r>
        <w:rPr>
          <w:b/>
        </w:rPr>
        <w:t>Roosendaal-Anmerkung:</w:t>
      </w:r>
      <w:r>
        <w:t xml:space="preserve"> EUR 250.000 je Verstoß ohne Obergrenze. AGB-Kontrolle nach §§ 305 ff. BGB prüfungsbedürftig, sofern das Vertragsstatut auf deutsches Recht wechselt. Vorbeugend: Deckelung und Ausnahmen für de-minimis-Verstöße.</w:t>
      </w:r>
    </w:p>
    <w:p/>
    <w:p>
      <w:pPr>
        <w:pStyle w:val="Heading3"/>
      </w:pPr>
      <w:r>
        <w:rPr>
          <w:rFonts w:ascii="Times New Roman" w:hAnsi="Times New Roman"/>
        </w:rPr>
        <w:t>Clause 12 — Non-Solicitation</w:t>
      </w:r>
    </w:p>
    <w:p>
      <w:pPr>
        <w:ind w:left="567"/>
      </w:pPr>
      <w:r>
        <w:rPr>
          <w:i/>
        </w:rPr>
        <w:t>"During the Term and for a period of three (3) years thereafter, neither Party shall, directly or indirectly, solicit for employment or hire any employee or contractor of the other Party who was involved in activities related to the Purpose, unless prior written consent is obtained."</w:t>
      </w:r>
    </w:p>
    <w:p>
      <w:pPr>
        <w:jc w:val="left"/>
      </w:pPr>
      <w:r>
        <w:rPr>
          <w:b/>
        </w:rPr>
        <w:t>Roosendaal-Anmerkung:</w:t>
      </w:r>
      <w:r>
        <w:t xml:space="preserve"> Reichweite unklar. „Involved in activities related to the Purpose" kann bei Windsysteme bis zu 400 Mitarbeiter erfassen. Konkretisierung erforderlich.</w:t>
      </w:r>
    </w:p>
    <w:p/>
    <w:p>
      <w:pPr>
        <w:pStyle w:val="Heading3"/>
      </w:pPr>
      <w:r>
        <w:rPr>
          <w:rFonts w:ascii="Times New Roman" w:hAnsi="Times New Roman"/>
        </w:rPr>
        <w:t>Clause 15 — Governing Law and Dispute Resolution</w:t>
      </w:r>
    </w:p>
    <w:p>
      <w:pPr>
        <w:ind w:left="567"/>
      </w:pPr>
      <w:r>
        <w:rPr>
          <w:i/>
        </w:rPr>
        <w:t>"This Agreement shall be governed by the laws of Singapore. Any dispute arising out of or in connection with this Agreement shall be referred to and finally resolved by arbitration administered by the Singapore International Arbitration Centre (SIAC) in accordance with the Arbitration Rules of the Singapore International Arbitration Centre for the time being in force, which rules are deemed to be incorporated by reference in this clause."</w:t>
      </w:r>
    </w:p>
    <w:p>
      <w:pPr>
        <w:jc w:val="left"/>
      </w:pPr>
      <w:r>
        <w:rPr>
          <w:b/>
        </w:rPr>
        <w:t>Roosendaal-Anmerkung (KRITISCH):</w:t>
      </w:r>
      <w:r>
        <w:t xml:space="preserve"> Ausschließlich Singapurer Recht und SIAC-Schiedsklausel. Deutsches Recht und LG Hamburg-Gerichtsstand für Windsysteme erheblich vorzugswürdig. Alternativ: DIS-Schiedsklausel mit Sitz Hamburg und Anwendung deutschen Rechts.</w:t>
      </w:r>
    </w:p>
    <w:p/>
    <w:p>
      <w:pPr>
        <w:pStyle w:val="Heading3"/>
      </w:pPr>
      <w:r>
        <w:rPr>
          <w:rFonts w:ascii="Times New Roman" w:hAnsi="Times New Roman"/>
        </w:rPr>
        <w:t>Clause 18 — Assignment / Konzernübertragung</w:t>
      </w:r>
    </w:p>
    <w:p>
      <w:pPr>
        <w:ind w:left="567"/>
      </w:pPr>
      <w:r>
        <w:rPr>
          <w:i/>
        </w:rPr>
        <w:t>"This Agreement and the obligations hereunder may be assigned by either Party to any of its Affiliates or subsidiaries or to any successor entity in the event of a merger, acquisition, or reorganization, without the prior written consent of the other Party."</w:t>
      </w:r>
    </w:p>
    <w:p>
      <w:pPr>
        <w:jc w:val="left"/>
      </w:pPr>
      <w:r>
        <w:rPr>
          <w:b/>
        </w:rPr>
        <w:t>Roosendaal-Anmerkung:</w:t>
      </w:r>
      <w:r>
        <w:t xml:space="preserve"> Für Windsysteme existenziell problematisch. Eickmann könnte die NDA-Rechte an unbekannte Konzerntöchter (z.B. Mehr Novin Energy Co. in Iran) abtreten. Zustimmungsvorbehalt zwingend.</w:t>
      </w:r>
    </w:p>
    <w:p/>
    <w:p>
      <w:pPr>
        <w:pStyle w:val="Heading2"/>
      </w:pPr>
      <w:r>
        <w:rPr>
          <w:rFonts w:ascii="Times New Roman" w:hAnsi="Times New Roman"/>
        </w:rPr>
        <w:t>Gesamtbewertung Entwurf v1</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Kategorie</w:t>
            </w:r>
          </w:p>
        </w:tc>
        <w:tc>
          <w:tcPr>
            <w:tcW w:type="dxa" w:w="4536"/>
          </w:tcPr>
          <w:p>
            <w:r>
              <w:rPr>
                <w:rFonts w:ascii="Times New Roman" w:hAnsi="Times New Roman"/>
                <w:b/>
                <w:sz w:val="20"/>
              </w:rPr>
              <w:t>Bewertung</w:t>
            </w:r>
          </w:p>
        </w:tc>
      </w:tr>
      <w:tr>
        <w:tc>
          <w:tcPr>
            <w:tcW w:type="dxa" w:w="4536"/>
          </w:tcPr>
          <w:p>
            <w:r>
              <w:rPr>
                <w:rFonts w:ascii="Times New Roman" w:hAnsi="Times New Roman"/>
                <w:sz w:val="20"/>
              </w:rPr>
              <w:t>Schutzwirkung für Windsysteme</w:t>
            </w:r>
          </w:p>
        </w:tc>
        <w:tc>
          <w:tcPr>
            <w:tcW w:type="dxa" w:w="4536"/>
          </w:tcPr>
          <w:p>
            <w:r>
              <w:rPr>
                <w:rFonts w:ascii="Times New Roman" w:hAnsi="Times New Roman"/>
                <w:sz w:val="20"/>
              </w:rPr>
              <w:t>Unzureichend</w:t>
            </w:r>
          </w:p>
        </w:tc>
      </w:tr>
      <w:tr>
        <w:tc>
          <w:tcPr>
            <w:tcW w:type="dxa" w:w="4536"/>
          </w:tcPr>
          <w:p>
            <w:r>
              <w:rPr>
                <w:rFonts w:ascii="Times New Roman" w:hAnsi="Times New Roman"/>
                <w:sz w:val="20"/>
              </w:rPr>
              <w:t>Gerichtsstand/Recht</w:t>
            </w:r>
          </w:p>
        </w:tc>
        <w:tc>
          <w:tcPr>
            <w:tcW w:type="dxa" w:w="4536"/>
          </w:tcPr>
          <w:p>
            <w:r>
              <w:rPr>
                <w:rFonts w:ascii="Times New Roman" w:hAnsi="Times New Roman"/>
                <w:sz w:val="20"/>
              </w:rPr>
              <w:t>Nicht akzeptabel (Singapur only)</w:t>
            </w:r>
          </w:p>
        </w:tc>
      </w:tr>
      <w:tr>
        <w:tc>
          <w:tcPr>
            <w:tcW w:type="dxa" w:w="4536"/>
          </w:tcPr>
          <w:p>
            <w:r>
              <w:rPr>
                <w:rFonts w:ascii="Times New Roman" w:hAnsi="Times New Roman"/>
                <w:sz w:val="20"/>
              </w:rPr>
              <w:t>Residual-Klausel</w:t>
            </w:r>
          </w:p>
        </w:tc>
        <w:tc>
          <w:tcPr>
            <w:tcW w:type="dxa" w:w="4536"/>
          </w:tcPr>
          <w:p>
            <w:r>
              <w:rPr>
                <w:rFonts w:ascii="Times New Roman" w:hAnsi="Times New Roman"/>
                <w:sz w:val="20"/>
              </w:rPr>
              <w:t>Nicht akzeptabel</w:t>
            </w:r>
          </w:p>
        </w:tc>
      </w:tr>
      <w:tr>
        <w:tc>
          <w:tcPr>
            <w:tcW w:type="dxa" w:w="4536"/>
          </w:tcPr>
          <w:p>
            <w:r>
              <w:rPr>
                <w:rFonts w:ascii="Times New Roman" w:hAnsi="Times New Roman"/>
                <w:sz w:val="20"/>
              </w:rPr>
              <w:t>Laufzeit</w:t>
            </w:r>
          </w:p>
        </w:tc>
        <w:tc>
          <w:tcPr>
            <w:tcW w:type="dxa" w:w="4536"/>
          </w:tcPr>
          <w:p>
            <w:r>
              <w:rPr>
                <w:rFonts w:ascii="Times New Roman" w:hAnsi="Times New Roman"/>
                <w:sz w:val="20"/>
              </w:rPr>
              <w:t>Nicht akzeptabel (7 Jahre)</w:t>
            </w:r>
          </w:p>
        </w:tc>
      </w:tr>
      <w:tr>
        <w:tc>
          <w:tcPr>
            <w:tcW w:type="dxa" w:w="4536"/>
          </w:tcPr>
          <w:p>
            <w:r>
              <w:rPr>
                <w:rFonts w:ascii="Times New Roman" w:hAnsi="Times New Roman"/>
                <w:sz w:val="20"/>
              </w:rPr>
              <w:t>Vertragsstrafe</w:t>
            </w:r>
          </w:p>
        </w:tc>
        <w:tc>
          <w:tcPr>
            <w:tcW w:type="dxa" w:w="4536"/>
          </w:tcPr>
          <w:p>
            <w:r>
              <w:rPr>
                <w:rFonts w:ascii="Times New Roman" w:hAnsi="Times New Roman"/>
                <w:sz w:val="20"/>
              </w:rPr>
              <w:t>Prüfungsbedürftig</w:t>
            </w:r>
          </w:p>
        </w:tc>
      </w:tr>
      <w:tr>
        <w:tc>
          <w:tcPr>
            <w:tcW w:type="dxa" w:w="4536"/>
          </w:tcPr>
          <w:p>
            <w:r>
              <w:rPr>
                <w:rFonts w:ascii="Times New Roman" w:hAnsi="Times New Roman"/>
                <w:sz w:val="20"/>
              </w:rPr>
              <w:t>Non-Solicitation</w:t>
            </w:r>
          </w:p>
        </w:tc>
        <w:tc>
          <w:tcPr>
            <w:tcW w:type="dxa" w:w="4536"/>
          </w:tcPr>
          <w:p>
            <w:r>
              <w:rPr>
                <w:rFonts w:ascii="Times New Roman" w:hAnsi="Times New Roman"/>
                <w:sz w:val="20"/>
              </w:rPr>
              <w:t>Nachbesserungsbedürftig</w:t>
            </w:r>
          </w:p>
        </w:tc>
      </w:tr>
      <w:tr>
        <w:tc>
          <w:tcPr>
            <w:tcW w:type="dxa" w:w="4536"/>
          </w:tcPr>
          <w:p>
            <w:r>
              <w:rPr>
                <w:rFonts w:ascii="Times New Roman" w:hAnsi="Times New Roman"/>
                <w:sz w:val="20"/>
              </w:rPr>
              <w:t>Exportkontrolle</w:t>
            </w:r>
          </w:p>
        </w:tc>
        <w:tc>
          <w:tcPr>
            <w:tcW w:type="dxa" w:w="4536"/>
          </w:tcPr>
          <w:p>
            <w:r>
              <w:rPr>
                <w:rFonts w:ascii="Times New Roman" w:hAnsi="Times New Roman"/>
                <w:sz w:val="20"/>
              </w:rPr>
              <w:t>Fehlt vollständig</w:t>
            </w:r>
          </w:p>
        </w:tc>
      </w:tr>
      <w:tr>
        <w:tc>
          <w:tcPr>
            <w:tcW w:type="dxa" w:w="4536"/>
          </w:tcPr>
          <w:p>
            <w:r>
              <w:rPr>
                <w:rFonts w:ascii="Times New Roman" w:hAnsi="Times New Roman"/>
                <w:sz w:val="20"/>
              </w:rPr>
              <w:t>GeschGehG-Kompatibilität</w:t>
            </w:r>
          </w:p>
        </w:tc>
        <w:tc>
          <w:tcPr>
            <w:tcW w:type="dxa" w:w="4536"/>
          </w:tcPr>
          <w:p>
            <w:r>
              <w:rPr>
                <w:rFonts w:ascii="Times New Roman" w:hAnsi="Times New Roman"/>
                <w:sz w:val="20"/>
              </w:rPr>
              <w:t>Fraglich</w:t>
            </w:r>
          </w:p>
        </w:tc>
      </w:tr>
    </w:tbl>
    <w:p>
      <w:pPr>
        <w:jc w:val="left"/>
      </w:pPr>
      <w:r>
        <w:rPr>
          <w:b/>
        </w:rPr>
        <w:t>Ergebnis:</w:t>
      </w:r>
      <w:r>
        <w:t xml:space="preserve"> RA Dr. Roosendaal empfiehlt, keinen der Kernpunkte des Eickmann-Entwurfs v1 unverändert zu akzeptieren. Vollständiger Gegenentwurf erforderlich.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