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05 — Klauselabgleich: Vertraulichkeitsdefinition</w:t>
      </w:r>
    </w:p>
    <w:p>
      <w:pPr>
        <w:jc w:val="left"/>
      </w:pPr>
      <w:r>
        <w:rPr>
          <w:b/>
        </w:rPr>
        <w:t>AZ:</w:t>
      </w:r>
      <w:r>
        <w:t xml:space="preserve"> MR-2026-1118</w:t>
      </w:r>
    </w:p>
    <w:p>
      <w:pPr>
        <w:jc w:val="left"/>
      </w:pPr>
      <w:r>
        <w:rPr>
          <w:b/>
        </w:rPr>
        <w:t>Klausel:</w:t>
      </w:r>
      <w:r>
        <w:t xml:space="preserve"> Definition Vertrauliche Information</w:t>
      </w:r>
    </w:p>
    <w:p>
      <w:pPr>
        <w:jc w:val="left"/>
      </w:pPr>
      <w:r>
        <w:rPr>
          <w:b/>
        </w:rPr>
        <w:t>Stand nach Verhandlung:</w:t>
      </w:r>
      <w:r>
        <w:t xml:space="preserve"> NDA v7, § 3</w:t>
      </w:r>
    </w:p>
    <w:p/>
    <w:p>
      <w:pPr>
        <w:pStyle w:val="Heading2"/>
      </w:pPr>
      <w:r>
        <w:rPr>
          <w:rFonts w:ascii="Times New Roman" w:hAnsi="Times New Roman"/>
        </w:rPr>
        <w:t>Eickmann-Fassung v1</w:t>
      </w:r>
    </w:p>
    <w:p>
      <w:pPr>
        <w:ind w:left="567"/>
      </w:pPr>
      <w:r>
        <w:rPr>
          <w:b/>
          <w:i/>
        </w:rPr>
        <w:t>Clause 3 — Definition of Confidential Information</w:t>
      </w:r>
    </w:p>
    <w:p>
      <w:pPr>
        <w:ind w:left="567"/>
      </w:pPr>
      <w:r>
        <w:rPr>
          <w:i/>
        </w:rPr>
        <w:t>"Confidential Information" means any and all information, data, know-how, trade secrets, business plans, financial information, customer lists, technical specifications, drawings, designs, processes, and any other information disclosed by either Party to the other Party in connection with the Purpose, whether disclosed in writing, orally, electronically, or by inspection of tangible objects, including without limitation all analyses, compilations, studies, summaries, and other materials that contain, reflect, or are generated from the Confidential Information.</w:t>
      </w:r>
    </w:p>
    <w:p>
      <w:pPr>
        <w:jc w:val="left"/>
      </w:pPr>
      <w:r>
        <w:rPr>
          <w:b/>
        </w:rPr>
        <w:t>Eickmann-Merkmal:</w:t>
      </w:r>
      <w:r>
        <w:t xml:space="preserve"> Keine Ausnahmen, keine Kennzeichnungspflicht, Auffangtatbestand extrem weit.</w:t>
      </w:r>
    </w:p>
    <w:p/>
    <w:p>
      <w:pPr>
        <w:pStyle w:val="Heading2"/>
      </w:pPr>
      <w:r>
        <w:rPr>
          <w:rFonts w:ascii="Times New Roman" w:hAnsi="Times New Roman"/>
        </w:rPr>
        <w:t>Windsysteme-Gegenentwurf v2</w:t>
      </w:r>
    </w:p>
    <w:p>
      <w:pPr>
        <w:jc w:val="left"/>
      </w:pPr>
      <w:r>
        <w:t>Vollständige Definition inkl. Ausnahmetatbestände (öffentlich bekannt, eigenständig entwickelt, Drittinformation ohne Bindung) — vgl. Aktenstück 04.</w:t>
      </w:r>
    </w:p>
    <w:p/>
    <w:p>
      <w:pPr>
        <w:pStyle w:val="Heading2"/>
      </w:pPr>
      <w:r>
        <w:rPr>
          <w:rFonts w:ascii="Times New Roman" w:hAnsi="Times New Roman"/>
        </w:rPr>
        <w:t>Verhandlungsverlauf</w:t>
      </w:r>
    </w:p>
    <w:p>
      <w:pPr>
        <w:pStyle w:val="Heading3"/>
      </w:pPr>
      <w:r>
        <w:rPr>
          <w:rFonts w:ascii="Times New Roman" w:hAnsi="Times New Roman"/>
        </w:rPr>
        <w:t>Verhandlung Tag 1 (17.02.2026)</w:t>
      </w:r>
    </w:p>
    <w:p>
      <w:pPr>
        <w:jc w:val="left"/>
      </w:pPr>
      <w:r>
        <w:t>Eickmanns Rechtsberater (Harrington &amp; Weld LLP, New York, vertreten durch Partner David Asante via Video) bestand zunächst auf der US-amerikanischen Weite der Definition. RA Dr. Roosendaal verwies auf § 2 Nr. 1 GeschGehG: Ein Geschäftsgeheimnis ist nur dann schutzwürdig, wenn der Inhaber „angemessene Geheimhaltungsmaßnahmen" trifft. Eine vollständig konturenlose Definition kann GeschGehG-Schutz sogar gefährden, weil sie keine abgrenzbaren Geheimnisse definiert.</w:t>
      </w:r>
    </w:p>
    <w:p>
      <w:pPr>
        <w:pStyle w:val="Heading3"/>
      </w:pPr>
      <w:r>
        <w:rPr>
          <w:rFonts w:ascii="Times New Roman" w:hAnsi="Times New Roman"/>
        </w:rPr>
        <w:t>Einigung (NDA v7)</w:t>
      </w:r>
    </w:p>
    <w:p>
      <w:pPr>
        <w:jc w:val="left"/>
      </w:pPr>
      <w:r>
        <w:t>Kompromiss: Eickmanns weite Grunddefinition bleibt, aber mit einem vollständigen Ausnahmekatalog (vier Ausnahmetatbestände nach Windsysteme-Entwurf) sowie einer 48-Stunden-Kennzeichnungspflicht für schriftlich übermittelte Informationen (mit Klausel-Ausnahme für offensichtlich vertrauliche Unterlagen wie Konstruktionspläne).</w:t>
      </w:r>
    </w:p>
    <w:p/>
    <w:p>
      <w:pPr>
        <w:pStyle w:val="Heading2"/>
      </w:pPr>
      <w:r>
        <w:rPr>
          <w:rFonts w:ascii="Times New Roman" w:hAnsi="Times New Roman"/>
        </w:rPr>
        <w:t>Finale Fassung (NDA v7, § 3)</w:t>
      </w:r>
    </w:p>
    <w:p>
      <w:pPr>
        <w:ind w:left="567"/>
      </w:pPr>
      <w:r>
        <w:rPr>
          <w:b/>
          <w:i/>
        </w:rPr>
        <w:t>§ 3 — Begriff der Vertraulichen Information</w:t>
      </w:r>
    </w:p>
    <w:p>
      <w:pPr>
        <w:ind w:left="567"/>
      </w:pPr>
    </w:p>
    <w:p>
      <w:pPr>
        <w:ind w:left="567"/>
      </w:pPr>
      <w:r>
        <w:rPr>
          <w:i/>
        </w:rPr>
        <w:t>(1) Als Vertrauliche Informationen im Sinne dieses Vertrags gelten alle Informationen, Daten, Unterlagen, Zeichnungen, Konstruktionspläne, Geschäftsgeheimnisse, Kundenlisten, Finanzinformationen, Strategiepapiere, technische Spezifikationen sowie sonstiges Know-how, die eine Partei (Offenbarende Partei) der anderen Partei (Empfangende Partei) in Zusammenhang mit dem Vertragszweck offenbart, unabhängig davon, ob die Offenbarung schriftlich, mündlich, elektronisch oder durch Inaugenscheinnahme von Gegenständen erfolgt.</w:t>
      </w:r>
    </w:p>
    <w:p>
      <w:pPr>
        <w:ind w:left="567"/>
      </w:pPr>
    </w:p>
    <w:p>
      <w:pPr>
        <w:ind w:left="567"/>
      </w:pPr>
      <w:r>
        <w:rPr>
          <w:i/>
        </w:rPr>
        <w:t>(2) Schriftlich offenbarte Informationen sind binnen 48 Stunden als „Vertraulich" zu kennzeichnen. Für technische Konstruktionszeichnungen, CAD-Daten und Produktionsspezifikationen gilt die Vertraulichkeit ohne Kennzeichnungspflicht.</w:t>
      </w:r>
    </w:p>
    <w:p>
      <w:pPr>
        <w:ind w:left="567"/>
      </w:pPr>
    </w:p>
    <w:p>
      <w:pPr>
        <w:ind w:left="567"/>
      </w:pPr>
      <w:r>
        <w:rPr>
          <w:i/>
        </w:rPr>
        <w:t>(3) Nicht als Vertrauliche Informationen gelten Informationen, die:</w:t>
      </w:r>
    </w:p>
    <w:p>
      <w:pPr>
        <w:ind w:left="567"/>
      </w:pPr>
      <w:r>
        <w:rPr>
          <w:i/>
        </w:rPr>
        <w:t>a) zum Zeitpunkt der Offenbarung allgemein bekannt oder öffentlich zugänglich sind oder es danach werden, ohne Verschulden der Empfangenden Partei;</w:t>
      </w:r>
    </w:p>
    <w:p>
      <w:pPr>
        <w:ind w:left="567"/>
      </w:pPr>
      <w:r>
        <w:rPr>
          <w:i/>
        </w:rPr>
        <w:t>b) der Empfangenden Partei vor der Offenbarung nachweislich ohne Geheimhaltungsverpflichtung bekannt waren;</w:t>
      </w:r>
    </w:p>
    <w:p>
      <w:pPr>
        <w:ind w:left="567"/>
      </w:pPr>
      <w:r>
        <w:rPr>
          <w:i/>
        </w:rPr>
        <w:t>c) von der Empfangenden Partei unabhängig und ohne Nutzung der Vertraulichen Informationen entwickelt wurden;</w:t>
      </w:r>
    </w:p>
    <w:p>
      <w:pPr>
        <w:ind w:left="567"/>
      </w:pPr>
      <w:r>
        <w:rPr>
          <w:i/>
        </w:rPr>
        <w:t>d) von einem Dritten ohne Geheimhaltungsverpflichtung rechtmäßig erlangt wurden.</w:t>
      </w:r>
    </w:p>
    <w:p/>
    <w:p>
      <w:pPr>
        <w:pStyle w:val="Heading2"/>
      </w:pPr>
      <w:r>
        <w:rPr>
          <w:rFonts w:ascii="Times New Roman" w:hAnsi="Times New Roman"/>
        </w:rPr>
        <w:t>Rechtliche Einordnung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Aspekt</w:t>
            </w:r>
          </w:p>
        </w:tc>
        <w:tc>
          <w:tcPr>
            <w:tcW w:type="dxa" w:w="4536"/>
          </w:tcPr>
          <w:p>
            <w:r>
              <w:rPr>
                <w:rFonts w:ascii="Times New Roman" w:hAnsi="Times New Roman"/>
                <w:b/>
                <w:sz w:val="20"/>
              </w:rPr>
              <w:t>Bewertung</w:t>
            </w:r>
          </w:p>
        </w:tc>
      </w:tr>
      <w:tr>
        <w:tc>
          <w:tcPr>
            <w:tcW w:type="dxa" w:w="4536"/>
          </w:tcPr>
          <w:p>
            <w:r>
              <w:rPr>
                <w:rFonts w:ascii="Times New Roman" w:hAnsi="Times New Roman"/>
                <w:sz w:val="20"/>
              </w:rPr>
              <w:t>GeschGehG § 2 Nr. 1</w:t>
            </w:r>
          </w:p>
        </w:tc>
        <w:tc>
          <w:tcPr>
            <w:tcW w:type="dxa" w:w="4536"/>
          </w:tcPr>
          <w:p>
            <w:r>
              <w:rPr>
                <w:rFonts w:ascii="Times New Roman" w:hAnsi="Times New Roman"/>
                <w:sz w:val="20"/>
              </w:rPr>
              <w:t>Ausnahmetatbestände (3)(a)-(d) decken sich mit gesetzlicher Ausnahmeliste; konform</w:t>
            </w:r>
          </w:p>
        </w:tc>
      </w:tr>
      <w:tr>
        <w:tc>
          <w:tcPr>
            <w:tcW w:type="dxa" w:w="4536"/>
          </w:tcPr>
          <w:p>
            <w:r>
              <w:rPr>
                <w:rFonts w:ascii="Times New Roman" w:hAnsi="Times New Roman"/>
                <w:sz w:val="20"/>
              </w:rPr>
              <w:t>BGB §§ 305 ff.</w:t>
            </w:r>
          </w:p>
        </w:tc>
        <w:tc>
          <w:tcPr>
            <w:tcW w:type="dxa" w:w="4536"/>
          </w:tcPr>
          <w:p>
            <w:r>
              <w:rPr>
                <w:rFonts w:ascii="Times New Roman" w:hAnsi="Times New Roman"/>
                <w:sz w:val="20"/>
              </w:rPr>
              <w:t>Kennzeichnungspflicht mit 48-h-Frist: angemessen, keine unangemessene Benachteiligung</w:t>
            </w:r>
          </w:p>
        </w:tc>
      </w:tr>
      <w:tr>
        <w:tc>
          <w:tcPr>
            <w:tcW w:type="dxa" w:w="4536"/>
          </w:tcPr>
          <w:p>
            <w:r>
              <w:rPr>
                <w:rFonts w:ascii="Times New Roman" w:hAnsi="Times New Roman"/>
                <w:sz w:val="20"/>
              </w:rPr>
              <w:t>Bestimmtheitsgrundsatz</w:t>
            </w:r>
          </w:p>
        </w:tc>
        <w:tc>
          <w:tcPr>
            <w:tcW w:type="dxa" w:w="4536"/>
          </w:tcPr>
          <w:p>
            <w:r>
              <w:rPr>
                <w:rFonts w:ascii="Times New Roman" w:hAnsi="Times New Roman"/>
                <w:sz w:val="20"/>
              </w:rPr>
              <w:t>Durch Ausnahmekatalog ausreichend bestimmt; § 307 Abs. 1 S. 2 BGB (Transparenzgebot) erfüllt</w:t>
            </w:r>
          </w:p>
        </w:tc>
      </w:tr>
    </w:tbl>
    <w:p>
      <w:pPr>
        <w:jc w:val="left"/>
      </w:pPr>
      <w:r>
        <w:rPr>
          <w:b/>
        </w:rPr>
        <w:t>Ergebnis:</w:t>
      </w:r>
      <w:r>
        <w:t xml:space="preserve"> Klausel in NDA v7 für Windsysteme akzeptabel.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