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Klauselabgleich: Verwendungszweck und Zweckbindung</w:t>
      </w:r>
    </w:p>
    <w:p>
      <w:pPr>
        <w:jc w:val="left"/>
      </w:pPr>
      <w:r>
        <w:rPr>
          <w:b/>
        </w:rPr>
        <w:t>AZ:</w:t>
      </w:r>
      <w:r>
        <w:t xml:space="preserve"> MR-2026-1118</w:t>
      </w:r>
    </w:p>
    <w:p>
      <w:pPr>
        <w:jc w:val="left"/>
      </w:pPr>
      <w:r>
        <w:rPr>
          <w:b/>
        </w:rPr>
        <w:t>Klausel:</w:t>
      </w:r>
      <w:r>
        <w:t xml:space="preserve"> Verwendungszweck / Purpose</w:t>
      </w:r>
    </w:p>
    <w:p>
      <w:pPr>
        <w:jc w:val="left"/>
      </w:pPr>
      <w:r>
        <w:rPr>
          <w:b/>
        </w:rPr>
        <w:t>Stand nach Verhandlung:</w:t>
      </w:r>
      <w:r>
        <w:t xml:space="preserve"> NDA v7, § 5</w:t>
      </w:r>
    </w:p>
    <w:p/>
    <w:p>
      <w:pPr>
        <w:pStyle w:val="Heading2"/>
      </w:pPr>
      <w:r>
        <w:rPr>
          <w:rFonts w:ascii="Times New Roman" w:hAnsi="Times New Roman"/>
        </w:rPr>
        <w:t>Eickmann-Fassung v1</w:t>
      </w:r>
    </w:p>
    <w:p>
      <w:pPr>
        <w:ind w:left="567"/>
      </w:pPr>
      <w:r>
        <w:rPr>
          <w:b/>
          <w:i/>
        </w:rPr>
        <w:t>Clause 5 — Permitted Use</w:t>
      </w:r>
    </w:p>
    <w:p>
      <w:pPr>
        <w:ind w:left="567"/>
      </w:pPr>
      <w:r>
        <w:rPr>
          <w:i/>
        </w:rPr>
        <w:t>"Each Party agrees to use the Confidential Information of the other Party solely for the purpose of evaluating and potentially implementing the joint business venture as described in the Term Sheet dated December 15, 2025 ('Purpose'). Each Party may also use the Confidential Information for the development of products and services that may complement the Purpose."</w:t>
      </w:r>
    </w:p>
    <w:p>
      <w:pPr>
        <w:jc w:val="left"/>
      </w:pPr>
      <w:r>
        <w:rPr>
          <w:b/>
        </w:rPr>
        <w:t>Problem:</w:t>
      </w:r>
      <w:r>
        <w:t xml:space="preserve"> Der letzte Satz „development of products and services that may complement the Purpose" ist vollständig konturenlos und würde es Eickmann erlauben, sämtliche Windsysteme-Technologiedaten für eigene Produktentwicklungen zu nutzen.</w:t>
      </w:r>
    </w:p>
    <w:p/>
    <w:p>
      <w:pPr>
        <w:pStyle w:val="Heading2"/>
      </w:pPr>
      <w:r>
        <w:rPr>
          <w:rFonts w:ascii="Times New Roman" w:hAnsi="Times New Roman"/>
        </w:rPr>
        <w:t>Windsysteme-Gegenentwurf v2</w:t>
      </w:r>
    </w:p>
    <w:p>
      <w:pPr>
        <w:jc w:val="left"/>
      </w:pPr>
      <w:r>
        <w:t>Strikte Zweckbindung auf JV-Zweck (WindAsia), expliziter Ausschluss eigener Produktentwicklung, Verbot der Weitergabe an eigene Entwicklungsabteilungen ohne schriftliche Genehmigung.</w:t>
      </w:r>
    </w:p>
    <w:p/>
    <w:p>
      <w:pPr>
        <w:pStyle w:val="Heading2"/>
      </w:pPr>
      <w:r>
        <w:rPr>
          <w:rFonts w:ascii="Times New Roman" w:hAnsi="Times New Roman"/>
        </w:rPr>
        <w:t>Verhandlungsverlauf</w:t>
      </w:r>
    </w:p>
    <w:p>
      <w:pPr>
        <w:jc w:val="left"/>
      </w:pPr>
      <w:r>
        <w:t>Eickmann akzeptierte die strikte Zweckbindung im Grundsatz, bestand aber auf einer Öffnungsklausel für „ergänzende Dienstleistungen im Rahmen des JV-Betriebs". Roosendaal stimmte einer eingeschränkten Fassung zu: Nutzung für den Betrieb des JV WindAsia Pte. Ltd., nicht für konzerneigene Entwicklungsprojekte außerhalb des JV.</w:t>
      </w:r>
    </w:p>
    <w:p/>
    <w:p>
      <w:pPr>
        <w:pStyle w:val="Heading2"/>
      </w:pPr>
      <w:r>
        <w:rPr>
          <w:rFonts w:ascii="Times New Roman" w:hAnsi="Times New Roman"/>
        </w:rPr>
        <w:t>Finale Fassung (NDA v7, § 5)</w:t>
      </w:r>
    </w:p>
    <w:p>
      <w:pPr>
        <w:ind w:left="567"/>
      </w:pPr>
      <w:r>
        <w:rPr>
          <w:b/>
          <w:i/>
        </w:rPr>
        <w:t>§ 5 — Zweckbindung</w:t>
      </w:r>
    </w:p>
    <w:p>
      <w:pPr>
        <w:ind w:left="567"/>
      </w:pPr>
    </w:p>
    <w:p>
      <w:pPr>
        <w:ind w:left="567"/>
      </w:pPr>
      <w:r>
        <w:rPr>
          <w:i/>
        </w:rPr>
        <w:t>(1) Die Empfangende Partei ist berechtigt, Vertrauliche Informationen ausschließlich zum Zweck der Durchführung der gemeinsamen Due-Diligence-Prüfung, der Vorbereitung und des Abschlusses des Joint-Venture-Hauptvertrags sowie des Betriebs des Joint Ventures WindAsia Pte. Ltd. zu verwenden (Vertragszweck).</w:t>
      </w:r>
    </w:p>
    <w:p>
      <w:pPr>
        <w:ind w:left="567"/>
      </w:pPr>
    </w:p>
    <w:p>
      <w:pPr>
        <w:ind w:left="567"/>
      </w:pPr>
      <w:r>
        <w:rPr>
          <w:i/>
        </w:rPr>
        <w:t>(2) Eine Nutzung der Vertraulichen Informationen für eigene Produktentwicklungen, Patentanmeldungen, Lizenzierungen oder Serviceangebote außerhalb des Vertragszwecks ist ohne vorherige schriftliche Einwilligung der Offenbarenden Partei ausdrücklich untersagt.</w:t>
      </w:r>
    </w:p>
    <w:p>
      <w:pPr>
        <w:ind w:left="567"/>
      </w:pPr>
    </w:p>
    <w:p>
      <w:pPr>
        <w:ind w:left="567"/>
      </w:pPr>
      <w:r>
        <w:rPr>
          <w:i/>
        </w:rPr>
        <w:t>(3) Die Empfangende Partei wird sicherstellen, dass Vertrauliche Informationen nur an diejenigen Mitarbeiter, Berater und Subunternehmer weitergegeben werden, die Kenntnis davon zur Erfüllung des Vertragszwecks benötigen (Need-to-know-Prinzip). Alle solcherart eingebundenen Personen sind vorab schriftlich auf die Geheimhaltungspflichten zu verpflichten.</w:t>
      </w:r>
    </w:p>
    <w:p/>
    <w:p>
      <w:pPr>
        <w:pStyle w:val="Heading2"/>
      </w:pPr>
      <w:r>
        <w:rPr>
          <w:rFonts w:ascii="Times New Roman" w:hAnsi="Times New Roman"/>
        </w:rPr>
        <w:t>Rechtliche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GeschGehG § 2 Nr. 1 lit. b</w:t>
            </w:r>
          </w:p>
        </w:tc>
        <w:tc>
          <w:tcPr>
            <w:tcW w:type="dxa" w:w="4536"/>
          </w:tcPr>
          <w:p>
            <w:r>
              <w:rPr>
                <w:rFonts w:ascii="Times New Roman" w:hAnsi="Times New Roman"/>
                <w:sz w:val="20"/>
              </w:rPr>
              <w:t>Need-to-know-Klausel in Abs. 3 erfüllt das Merkmal „angemessene Geheimhaltungsmaßnahmen"</w:t>
            </w:r>
          </w:p>
        </w:tc>
      </w:tr>
      <w:tr>
        <w:tc>
          <w:tcPr>
            <w:tcW w:type="dxa" w:w="4536"/>
          </w:tcPr>
          <w:p>
            <w:r>
              <w:rPr>
                <w:rFonts w:ascii="Times New Roman" w:hAnsi="Times New Roman"/>
                <w:sz w:val="20"/>
              </w:rPr>
              <w:t>§ 307 BGB</w:t>
            </w:r>
          </w:p>
        </w:tc>
        <w:tc>
          <w:tcPr>
            <w:tcW w:type="dxa" w:w="4536"/>
          </w:tcPr>
          <w:p>
            <w:r>
              <w:rPr>
                <w:rFonts w:ascii="Times New Roman" w:hAnsi="Times New Roman"/>
                <w:sz w:val="20"/>
              </w:rPr>
              <w:t>Zweckbindung ist klar und transparent; keine unangemessene Benachteiligung</w:t>
            </w:r>
          </w:p>
        </w:tc>
      </w:tr>
      <w:tr>
        <w:tc>
          <w:tcPr>
            <w:tcW w:type="dxa" w:w="4536"/>
          </w:tcPr>
          <w:p>
            <w:r>
              <w:rPr>
                <w:rFonts w:ascii="Times New Roman" w:hAnsi="Times New Roman"/>
                <w:sz w:val="20"/>
              </w:rPr>
              <w:t>UWG § 17 a.F. (historisch)</w:t>
            </w:r>
          </w:p>
        </w:tc>
        <w:tc>
          <w:tcPr>
            <w:tcW w:type="dxa" w:w="4536"/>
          </w:tcPr>
          <w:p>
            <w:r>
              <w:rPr>
                <w:rFonts w:ascii="Times New Roman" w:hAnsi="Times New Roman"/>
                <w:sz w:val="20"/>
              </w:rPr>
              <w:t>Relevanz für strafrechtliche Dimension: Nutzungsverbot schließt Geheimnishehlerei-Tatbestand ab</w:t>
            </w:r>
          </w:p>
        </w:tc>
      </w:tr>
    </w:tbl>
    <w:p>
      <w:pPr>
        <w:jc w:val="left"/>
      </w:pPr>
      <w:r>
        <w:rPr>
          <w:b/>
        </w:rPr>
        <w:t>Ergebnis:</w:t>
      </w:r>
      <w:r>
        <w:t xml:space="preserve"> Klausel für Windsysteme akzeptabel; Need-to-know-Prinzip sichert GeschGehG-Konformität.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