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Klauselabgleich: Rückgabe- und Vernichtungspflicht</w:t>
      </w:r>
    </w:p>
    <w:p>
      <w:pPr>
        <w:jc w:val="left"/>
      </w:pPr>
      <w:r>
        <w:rPr>
          <w:b/>
        </w:rPr>
        <w:t>AZ:</w:t>
      </w:r>
      <w:r>
        <w:t xml:space="preserve"> MR-2026-1118</w:t>
      </w:r>
    </w:p>
    <w:p>
      <w:pPr>
        <w:jc w:val="left"/>
      </w:pPr>
      <w:r>
        <w:rPr>
          <w:b/>
        </w:rPr>
        <w:t>Klausel:</w:t>
      </w:r>
      <w:r>
        <w:t xml:space="preserve"> Return / Destruction of Confidential Information</w:t>
      </w:r>
    </w:p>
    <w:p>
      <w:pPr>
        <w:jc w:val="left"/>
      </w:pPr>
      <w:r>
        <w:rPr>
          <w:b/>
        </w:rPr>
        <w:t>Stand nach Verhandlung:</w:t>
      </w:r>
      <w:r>
        <w:t xml:space="preserve"> NDA v7, § 8</w:t>
      </w:r>
    </w:p>
    <w:p/>
    <w:p>
      <w:pPr>
        <w:pStyle w:val="Heading2"/>
      </w:pPr>
      <w:r>
        <w:rPr>
          <w:rFonts w:ascii="Times New Roman" w:hAnsi="Times New Roman"/>
        </w:rPr>
        <w:t>Eickmann-Fassung v1</w:t>
      </w:r>
    </w:p>
    <w:p>
      <w:pPr>
        <w:ind w:left="567"/>
      </w:pPr>
      <w:r>
        <w:rPr>
          <w:b/>
          <w:i/>
        </w:rPr>
        <w:t>Clause 8 — Return or Destruction</w:t>
      </w:r>
    </w:p>
    <w:p>
      <w:pPr>
        <w:ind w:left="567"/>
      </w:pPr>
      <w:r>
        <w:rPr>
          <w:i/>
        </w:rPr>
        <w:t>"Upon request by the Disclosing Party, or upon termination or expiry of this Agreement, the Recipient shall promptly return or, at the Disclosing Party's option, destroy all tangible materials containing Confidential Information. The Recipient may, however, retain one archival copy for the sole purpose of resolving any disputes arising under this Agreement. Electronic copies in automated backup systems need not be actively deleted but shall be overwritten in the ordinary course of system maintenance."</w:t>
      </w:r>
    </w:p>
    <w:p>
      <w:pPr>
        <w:jc w:val="left"/>
      </w:pPr>
      <w:r>
        <w:rPr>
          <w:b/>
        </w:rPr>
        <w:t>Problem:</w:t>
      </w:r>
      <w:r>
        <w:t xml:space="preserve"> „Archival copy"-Ausnahme ist zu weit. „Electronic copies in automated backup systems" — Eickmann könnte strukturiert Backups anlegen, um Informationen langfristig zu sichern.</w:t>
      </w:r>
    </w:p>
    <w:p/>
    <w:p>
      <w:pPr>
        <w:pStyle w:val="Heading2"/>
      </w:pPr>
      <w:r>
        <w:rPr>
          <w:rFonts w:ascii="Times New Roman" w:hAnsi="Times New Roman"/>
        </w:rPr>
        <w:t>Windsysteme-Gegenentwurf v2</w:t>
      </w:r>
    </w:p>
    <w:p>
      <w:pPr>
        <w:jc w:val="left"/>
      </w:pPr>
      <w:r>
        <w:t>Vollständige Rückgabe oder zertifizierte Vernichtung, maximal 10 Werktage nach Anforderung; für elektronische Kopien: aktive Löschung inkl. Backups, schriftliche Bestätigung.</w:t>
      </w:r>
    </w:p>
    <w:p/>
    <w:p>
      <w:pPr>
        <w:pStyle w:val="Heading2"/>
      </w:pPr>
      <w:r>
        <w:rPr>
          <w:rFonts w:ascii="Times New Roman" w:hAnsi="Times New Roman"/>
        </w:rPr>
        <w:t>Verhandlungsverlauf</w:t>
      </w:r>
    </w:p>
    <w:p>
      <w:pPr>
        <w:jc w:val="left"/>
      </w:pPr>
      <w:r>
        <w:t>Eickmann akzeptierte aktive Löschpflicht für Backup-Systeme nicht (IT-technisch nicht realisierbar innerhalb normaler Backup-Rotationszyklen). Kompromiss: Backup-Kopien werden im nächsten regulären Rotationszyklus gelöscht (max. 90 Tage nach Anforderung); bis dahin gelten die NDA-Pflichten fort.</w:t>
      </w:r>
    </w:p>
    <w:p/>
    <w:p>
      <w:pPr>
        <w:pStyle w:val="Heading2"/>
      </w:pPr>
      <w:r>
        <w:rPr>
          <w:rFonts w:ascii="Times New Roman" w:hAnsi="Times New Roman"/>
        </w:rPr>
        <w:t>Finale Fassung (NDA v7, § 8)</w:t>
      </w:r>
    </w:p>
    <w:p>
      <w:pPr>
        <w:ind w:left="567"/>
      </w:pPr>
      <w:r>
        <w:rPr>
          <w:b/>
          <w:i/>
        </w:rPr>
        <w:t>§ 8 — Rückgabe und Vernichtung</w:t>
      </w:r>
    </w:p>
    <w:p>
      <w:pPr>
        <w:ind w:left="567"/>
      </w:pPr>
    </w:p>
    <w:p>
      <w:pPr>
        <w:ind w:left="567"/>
      </w:pPr>
      <w:r>
        <w:rPr>
          <w:i/>
        </w:rPr>
        <w:t>(1) Auf Anforderung der Offenbarenden Partei oder mit Ablauf dieses Vertrags ist die Empfangende Partei verpflichtet, alle materiellen und elektronischen Träger Vertraulicher Informationen binnen zehn (10) Werktagen vollständig zurückzugeben oder — auf Wunsch der Offenbarenden Partei — nach DIN 66399 (Sicherheitsstufe P-4) zu vernichten.</w:t>
      </w:r>
    </w:p>
    <w:p>
      <w:pPr>
        <w:ind w:left="567"/>
      </w:pPr>
    </w:p>
    <w:p>
      <w:pPr>
        <w:ind w:left="567"/>
      </w:pPr>
      <w:r>
        <w:rPr>
          <w:i/>
        </w:rPr>
        <w:t>(2) Elektronische Kopien auf automatisierten Backup-Systemen sind im nächsten regulären Backup-Rotationszyklus zu löschen, spätestens jedoch 90 Tage nach der Rückgabe-/Vernichtungsanforderung. Bis zur Löschung gelten die Geheimhaltungspflichten dieses Vertrags fort.</w:t>
      </w:r>
    </w:p>
    <w:p>
      <w:pPr>
        <w:ind w:left="567"/>
      </w:pPr>
    </w:p>
    <w:p>
      <w:pPr>
        <w:ind w:left="567"/>
      </w:pPr>
      <w:r>
        <w:rPr>
          <w:i/>
        </w:rPr>
        <w:t>(3) Die Empfangende Partei hat der Offenbarenden Partei binnen 15 Werktagen nach Erfüllung der Rückgabe-/Vernichtungspflicht eine schriftliche Bestätigung (Vernichtungsprotokoll) zu übermitteln.</w:t>
      </w:r>
    </w:p>
    <w:p>
      <w:pPr>
        <w:ind w:left="567"/>
      </w:pPr>
    </w:p>
    <w:p>
      <w:pPr>
        <w:ind w:left="567"/>
      </w:pPr>
      <w:r>
        <w:rPr>
          <w:i/>
        </w:rPr>
        <w:t>(4) Eine einzige Archivkopie darf ausschließlich für die interne Rechtsabteilung zum Zweck der Streitbeilegung vorgehalten werden; diese Kopie unterliegt weiterhin allen Geheimhaltungspflichten dieses Vertrags.</w:t>
      </w:r>
    </w:p>
    <w:p/>
    <w:p>
      <w:pPr>
        <w:pStyle w:val="Heading2"/>
      </w:pPr>
      <w:r>
        <w:rPr>
          <w:rFonts w:ascii="Times New Roman" w:hAnsi="Times New Roman"/>
        </w:rPr>
        <w:t>Rechtliche Einordnung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GeschGehG § 2 Nr. 1 lit. b</w:t>
            </w:r>
          </w:p>
        </w:tc>
        <w:tc>
          <w:tcPr>
            <w:tcW w:type="dxa" w:w="4536"/>
          </w:tcPr>
          <w:p>
            <w:r>
              <w:rPr>
                <w:rFonts w:ascii="Times New Roman" w:hAnsi="Times New Roman"/>
                <w:sz w:val="20"/>
              </w:rPr>
              <w:t>90-Tage-Backup-Regelung mit Fortgeltungsklausel: angemessen</w:t>
            </w:r>
          </w:p>
        </w:tc>
      </w:tr>
      <w:tr>
        <w:tc>
          <w:tcPr>
            <w:tcW w:type="dxa" w:w="4536"/>
          </w:tcPr>
          <w:p>
            <w:r>
              <w:rPr>
                <w:rFonts w:ascii="Times New Roman" w:hAnsi="Times New Roman"/>
                <w:sz w:val="20"/>
              </w:rPr>
              <w:t>DIN 66399 Verweis</w:t>
            </w:r>
          </w:p>
        </w:tc>
        <w:tc>
          <w:tcPr>
            <w:tcW w:type="dxa" w:w="4536"/>
          </w:tcPr>
          <w:p>
            <w:r>
              <w:rPr>
                <w:rFonts w:ascii="Times New Roman" w:hAnsi="Times New Roman"/>
                <w:sz w:val="20"/>
              </w:rPr>
              <w:t>Praxistauglich für physische Dokumente</w:t>
            </w:r>
          </w:p>
        </w:tc>
      </w:tr>
      <w:tr>
        <w:tc>
          <w:tcPr>
            <w:tcW w:type="dxa" w:w="4536"/>
          </w:tcPr>
          <w:p>
            <w:r>
              <w:rPr>
                <w:rFonts w:ascii="Times New Roman" w:hAnsi="Times New Roman"/>
                <w:sz w:val="20"/>
              </w:rPr>
              <w:t>Vernichtungsprotokoll</w:t>
            </w:r>
          </w:p>
        </w:tc>
        <w:tc>
          <w:tcPr>
            <w:tcW w:type="dxa" w:w="4536"/>
          </w:tcPr>
          <w:p>
            <w:r>
              <w:rPr>
                <w:rFonts w:ascii="Times New Roman" w:hAnsi="Times New Roman"/>
                <w:sz w:val="20"/>
              </w:rPr>
              <w:t>Beweissicherung für Windsysteme</w:t>
            </w:r>
          </w:p>
        </w:tc>
      </w:tr>
    </w:tbl>
    <w:p>
      <w:pPr>
        <w:jc w:val="left"/>
      </w:pPr>
      <w:r>
        <w:rPr>
          <w:b/>
        </w:rPr>
        <w:t>Ergebnis:</w:t>
      </w:r>
      <w:r>
        <w:t xml:space="preserve"> Für Windsysteme akzeptabel; IT-Kompromiss realistisch und sicher.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