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Klauselabgleich: Vertragsstrafe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Klausel:</w:t>
      </w:r>
      <w:r>
        <w:t xml:space="preserve"> Liquidated Damages / Vertragsstrafe</w:t>
      </w:r>
    </w:p>
    <w:p>
      <w:pPr>
        <w:jc w:val="left"/>
      </w:pPr>
      <w:r>
        <w:rPr>
          <w:b/>
        </w:rPr>
        <w:t>Stand nach Verhandlung:</w:t>
      </w:r>
      <w:r>
        <w:t xml:space="preserve"> NDA v7, § 9</w:t>
      </w:r>
    </w:p>
    <w:p>
      <w:pPr>
        <w:jc w:val="left"/>
      </w:pPr>
      <w:r>
        <w:rPr>
          <w:b/>
        </w:rPr>
        <w:t>Rechtsgrundlagen:</w:t>
      </w:r>
      <w:r>
        <w:t xml:space="preserve"> §§ 305 ff. BGB, § 307 BGB, § 339 BGB</w:t>
      </w:r>
    </w:p>
    <w:p/>
    <w:p>
      <w:pPr>
        <w:pStyle w:val="Heading2"/>
      </w:pPr>
      <w:r>
        <w:rPr>
          <w:rFonts w:ascii="Times New Roman" w:hAnsi="Times New Roman"/>
        </w:rPr>
        <w:t>Eickmann-Fassung v1</w:t>
      </w:r>
    </w:p>
    <w:p>
      <w:pPr>
        <w:ind w:left="567"/>
      </w:pPr>
      <w:r>
        <w:rPr>
          <w:i/>
        </w:rPr>
        <w:t>EUR 250.000 je Verstoß, keine Obergrenze, keine Verhältnismäßigkeitsprüfung.</w:t>
      </w:r>
    </w:p>
    <w:p/>
    <w:p>
      <w:pPr>
        <w:pStyle w:val="Heading2"/>
      </w:pPr>
      <w:r>
        <w:rPr>
          <w:rFonts w:ascii="Times New Roman" w:hAnsi="Times New Roman"/>
        </w:rPr>
        <w:t>AGB-rechtliche Prüfung (§§ 305 ff. BGB)</w:t>
      </w:r>
    </w:p>
    <w:p>
      <w:pPr>
        <w:jc w:val="left"/>
      </w:pPr>
      <w:r>
        <w:t>Das NDA ist, sofern deutsches Recht gilt, als AGB zu qualifizieren, wenn der Eickmann-Entwurf als vorformuliertes Vertragswerk im Sinne des § 305 Abs. 1 BGB einzustufen ist. Dies ist der Fall: Eickmann hat das Vertragswerk einseitig erstellt und es unverändert Windsysteme präsentiert.</w:t>
      </w:r>
    </w:p>
    <w:p>
      <w:pPr>
        <w:jc w:val="left"/>
      </w:pPr>
      <w:r>
        <w:rPr>
          <w:b/>
        </w:rPr>
        <w:t>§ 307 Abs. 1 BGB:</w:t>
      </w:r>
      <w:r>
        <w:t xml:space="preserve"> Eine Klausel, die den Vertragspartner unangemessen benachteiligt, ist unwirksam. Die Frage, ob EUR 250.000 je Verstoß ohne jede Deckelung unangemessen ist, ist zu bejahen:</w:t>
      </w:r>
    </w:p>
    <w:p>
      <w:pPr>
        <w:pStyle w:val="ListBullet"/>
      </w:pPr>
      <w:r>
        <w:t>Keine Unterscheidung nach Schwere des Verstoßes.</w:t>
      </w:r>
    </w:p>
    <w:p>
      <w:pPr>
        <w:pStyle w:val="ListBullet"/>
      </w:pPr>
      <w:r>
        <w:t>Keine Verhältnismäßigkeit zum tatsächlichen Schaden.</w:t>
      </w:r>
    </w:p>
    <w:p>
      <w:pPr>
        <w:pStyle w:val="ListBullet"/>
      </w:pPr>
      <w:r>
        <w:t>Keine Obergrenze; theoretisch: mehrere Verstöße pro Tag möglich (z.B. durch unbedachte E-Mail-Weiterleitung).</w:t>
      </w:r>
    </w:p>
    <w:p>
      <w:pPr>
        <w:jc w:val="left"/>
      </w:pPr>
      <w:r>
        <w:rPr>
          <w:b/>
        </w:rPr>
        <w:t>Ergebnis der AGB-Kontrolle:</w:t>
      </w:r>
      <w:r>
        <w:t xml:space="preserve"> Klausel in Eickmann-Version wäre nach deutschem Recht gem. § 307 Abs. 1 BGB unwirksam (bei Geltung deutschen Rechts). Da Eickmann Singapurer Recht bevorzugte, war dies primär ein Verhandlungsargument.</w:t>
      </w:r>
    </w:p>
    <w:p/>
    <w:p>
      <w:pPr>
        <w:pStyle w:val="Heading2"/>
      </w:pPr>
      <w:r>
        <w:rPr>
          <w:rFonts w:ascii="Times New Roman" w:hAnsi="Times New Roman"/>
        </w:rPr>
        <w:t>Verhandlungsverlauf</w:t>
      </w:r>
    </w:p>
    <w:p>
      <w:pPr>
        <w:jc w:val="left"/>
      </w:pPr>
      <w:r>
        <w:t>RA Dr. Roosendaal führte die AGB-Argumentation als Druck-Argument gegenüber Eickmann an und schlug eine Staffelung der Vertragsstrafe vor: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Verstossschwere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Windsysteme-Vorschlag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Eickmann-Gegenposition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Einigung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Leichter Verstoß (fahrlässig)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Mittlerer Verstoß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Schwerer Verstoß (vorsätzlich)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75.000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120.000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Jahresdeckel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300.000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Deckel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480.000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Finale Fassung (NDA v7, § 9)</w:t>
      </w:r>
    </w:p>
    <w:p>
      <w:pPr>
        <w:ind w:left="567"/>
      </w:pPr>
      <w:r>
        <w:rPr>
          <w:b/>
          <w:i/>
        </w:rPr>
        <w:t>§ 9 — Vertragsstrafe</w:t>
      </w:r>
    </w:p>
    <w:p>
      <w:pPr>
        <w:ind w:left="567"/>
      </w:pPr>
    </w:p>
    <w:p>
      <w:pPr>
        <w:ind w:left="567"/>
      </w:pPr>
      <w:r>
        <w:rPr>
          <w:i/>
        </w:rPr>
        <w:t>(1) Bei schuldhafter Verletzung einer Geheimhaltungspflicht aus diesem Vertrag schuldet die Empfangende Partei der Offenbarenden Partei eine Vertragsstrafe wie folgt:</w:t>
      </w:r>
    </w:p>
    <w:p>
      <w:pPr>
        <w:ind w:left="567"/>
      </w:pPr>
    </w:p>
    <w:p>
      <w:pPr>
        <w:ind w:left="567"/>
      </w:pPr>
      <w:r>
        <w:rPr>
          <w:i/>
        </w:rPr>
        <w:t>a) Bei fahrlässiger Verletzung ohne wirtschaftlichen Schaden der Offenbarenden Partei: 50.000 EUR je Verstoß;</w:t>
      </w:r>
    </w:p>
    <w:p>
      <w:pPr>
        <w:ind w:left="567"/>
      </w:pPr>
      <w:r>
        <w:rPr>
          <w:i/>
        </w:rPr>
        <w:t>b) Bei grob fahrlässiger oder vorsätzlicher Verletzung mit oder ohne wirtschaftlichem Schaden: 120.000 EUR je Verstoß.</w:t>
      </w:r>
    </w:p>
    <w:p>
      <w:pPr>
        <w:ind w:left="567"/>
      </w:pPr>
    </w:p>
    <w:p>
      <w:pPr>
        <w:ind w:left="567"/>
      </w:pPr>
      <w:r>
        <w:rPr>
          <w:i/>
        </w:rPr>
        <w:t>(2) Die Summe aller in einem Kalenderjahr verwirkten Vertragsstrafen ist auf 480.000 EUR begrenzt.</w:t>
      </w:r>
    </w:p>
    <w:p>
      <w:pPr>
        <w:ind w:left="567"/>
      </w:pPr>
    </w:p>
    <w:p>
      <w:pPr>
        <w:ind w:left="567"/>
      </w:pPr>
      <w:r>
        <w:rPr>
          <w:i/>
        </w:rPr>
        <w:t>(3) Der Nachweis eines höheren tatsächlichen Schadens bleibt der Offenbarenden Partei vorbehalten; die Vertragsstrafe wird auf einen tatsächlich nachgewiesenen Schadensersatzanspruch angerechnet.</w:t>
      </w:r>
    </w:p>
    <w:p>
      <w:pPr>
        <w:ind w:left="567"/>
      </w:pPr>
    </w:p>
    <w:p>
      <w:pPr>
        <w:ind w:left="567"/>
      </w:pPr>
      <w:r>
        <w:rPr>
          <w:i/>
        </w:rPr>
        <w:t>(4) Die Vertragsstrafe wird fällig binnen 30 Tagen nach schriftlicher Geltendmachung. Bei Bestreiten ist ein gerichtliches oder schiedsgerichtliches Verfahren gemäß § 15 dieses Vertrags einzuleiten.</w:t>
      </w:r>
    </w:p>
    <w:p/>
    <w:p>
      <w:pPr>
        <w:pStyle w:val="Heading2"/>
      </w:pPr>
      <w:r>
        <w:rPr>
          <w:rFonts w:ascii="Times New Roman" w:hAnsi="Times New Roman"/>
        </w:rPr>
        <w:t>Rechtliche Einordnung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Aspekt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307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Differenziertes System nach Verschuldensgrad: angemessen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339 BGB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Verwirkungsmechanismus klar geregelt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Jahresdeckel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Verhältnismäßig; vermeidet Existenzgefährdung bei Häufung kleiner Verstöße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Schadensersatz-Vorbehalt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340 Abs. 2 BGB: konform</w:t>
            </w:r>
          </w:p>
        </w:tc>
      </w:tr>
    </w:tbl>
    <w:p>
      <w:pPr>
        <w:jc w:val="left"/>
      </w:pPr>
      <w:r>
        <w:rPr>
          <w:b/>
        </w:rPr>
        <w:t>Ergebnis:</w:t>
      </w:r>
      <w:r>
        <w:t xml:space="preserve"> Für Windsysteme akzeptabel; deutliche Verbesserung gegenüber Eickmann v1.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