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09 — Klauselabgleich: Laufzeit</w:t>
      </w:r>
    </w:p>
    <w:p>
      <w:pPr>
        <w:jc w:val="left"/>
      </w:pPr>
      <w:r>
        <w:rPr>
          <w:b/>
        </w:rPr>
        <w:t>AZ:</w:t>
      </w:r>
      <w:r>
        <w:t xml:space="preserve"> MR-2026-1118</w:t>
      </w:r>
    </w:p>
    <w:p>
      <w:pPr>
        <w:jc w:val="left"/>
      </w:pPr>
      <w:r>
        <w:rPr>
          <w:b/>
        </w:rPr>
        <w:t>Klausel:</w:t>
      </w:r>
      <w:r>
        <w:t xml:space="preserve"> Term / Laufzeit</w:t>
      </w:r>
    </w:p>
    <w:p>
      <w:pPr>
        <w:jc w:val="left"/>
      </w:pPr>
      <w:r>
        <w:rPr>
          <w:b/>
        </w:rPr>
        <w:t>Stand nach Verhandlung:</w:t>
      </w:r>
      <w:r>
        <w:t xml:space="preserve"> NDA v7, § 7</w:t>
      </w:r>
    </w:p>
    <w:p/>
    <w:p>
      <w:pPr>
        <w:pStyle w:val="Heading2"/>
      </w:pPr>
      <w:r>
        <w:rPr>
          <w:rFonts w:ascii="Times New Roman" w:hAnsi="Times New Roman"/>
        </w:rPr>
        <w:t>Ausgangspositionen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Partei</w:t>
            </w:r>
          </w:p>
        </w:tc>
        <w:tc>
          <w:tcPr>
            <w:tcW w:type="dxa" w:w="3024"/>
          </w:tcPr>
          <w:p>
            <w:r>
              <w:rPr>
                <w:rFonts w:ascii="Times New Roman" w:hAnsi="Times New Roman"/>
                <w:b/>
                <w:sz w:val="20"/>
              </w:rPr>
              <w:t>Position</w:t>
            </w:r>
          </w:p>
        </w:tc>
        <w:tc>
          <w:tcPr>
            <w:tcW w:type="dxa" w:w="3024"/>
          </w:tcPr>
          <w:p>
            <w:r>
              <w:rPr>
                <w:rFonts w:ascii="Times New Roman" w:hAnsi="Times New Roman"/>
                <w:b/>
                <w:sz w:val="20"/>
              </w:rPr>
              <w:t>Begründung</w:t>
            </w:r>
          </w:p>
        </w:tc>
      </w:tr>
      <w:tr>
        <w:tc>
          <w:tcPr>
            <w:tcW w:type="dxa" w:w="3024"/>
          </w:tcPr>
          <w:p>
            <w:r>
              <w:rPr>
                <w:rFonts w:ascii="Times New Roman" w:hAnsi="Times New Roman"/>
                <w:sz w:val="20"/>
              </w:rPr>
              <w:t>Eickmann</w:t>
            </w:r>
          </w:p>
        </w:tc>
        <w:tc>
          <w:tcPr>
            <w:tcW w:type="dxa" w:w="3024"/>
          </w:tcPr>
          <w:p>
            <w:r>
              <w:rPr>
                <w:rFonts w:ascii="Times New Roman" w:hAnsi="Times New Roman"/>
                <w:sz w:val="20"/>
              </w:rPr>
              <w:t>7 Jahre</w:t>
            </w:r>
          </w:p>
        </w:tc>
        <w:tc>
          <w:tcPr>
            <w:tcW w:type="dxa" w:w="3024"/>
          </w:tcPr>
          <w:p>
            <w:r>
              <w:rPr>
                <w:rFonts w:ascii="Times New Roman" w:hAnsi="Times New Roman"/>
                <w:sz w:val="20"/>
              </w:rPr>
              <w:t>Lange Innovationszyklen im Windenergiemarkt; Eickmann-Mitarbeiter sollen langfristig nicht limitiert sein</w:t>
            </w:r>
          </w:p>
        </w:tc>
      </w:tr>
      <w:tr>
        <w:tc>
          <w:tcPr>
            <w:tcW w:type="dxa" w:w="3024"/>
          </w:tcPr>
          <w:p>
            <w:r>
              <w:rPr>
                <w:rFonts w:ascii="Times New Roman" w:hAnsi="Times New Roman"/>
                <w:sz w:val="20"/>
              </w:rPr>
              <w:t>Windsysteme</w:t>
            </w:r>
          </w:p>
        </w:tc>
        <w:tc>
          <w:tcPr>
            <w:tcW w:type="dxa" w:w="3024"/>
          </w:tcPr>
          <w:p>
            <w:r>
              <w:rPr>
                <w:rFonts w:ascii="Times New Roman" w:hAnsi="Times New Roman"/>
                <w:sz w:val="20"/>
              </w:rPr>
              <w:t>3 Jahre</w:t>
            </w:r>
          </w:p>
        </w:tc>
        <w:tc>
          <w:tcPr>
            <w:tcW w:type="dxa" w:w="3024"/>
          </w:tcPr>
          <w:p>
            <w:r>
              <w:rPr>
                <w:rFonts w:ascii="Times New Roman" w:hAnsi="Times New Roman"/>
                <w:sz w:val="20"/>
              </w:rPr>
              <w:t>International übliche NDA-Laufzeit für vorvertragliche Vereinbarungen; Überprüfung nach JV-Anlauf</w:t>
            </w:r>
          </w:p>
        </w:tc>
      </w:tr>
    </w:tbl>
    <w:p/>
    <w:p>
      <w:pPr>
        <w:pStyle w:val="Heading2"/>
      </w:pPr>
      <w:r>
        <w:rPr>
          <w:rFonts w:ascii="Times New Roman" w:hAnsi="Times New Roman"/>
        </w:rPr>
        <w:t>Rechtliche Analyse</w:t>
      </w:r>
    </w:p>
    <w:p>
      <w:pPr>
        <w:jc w:val="left"/>
      </w:pPr>
      <w:r>
        <w:t>Eine 7-jährige NDA-Laufzeit für vorvertragliche Vereinbarungen im B2B-Bereich ist ungewöhnlich lang. In der deutschen Praxis sind 2–3 Jahre für vorvertragliche NDAs üblich. Für JV-begleitende NDAs können längere Laufzeiten gerechtfertigt sein, wenn:</w:t>
      </w:r>
    </w:p>
    <w:p>
      <w:pPr>
        <w:pStyle w:val="ListBullet"/>
      </w:pPr>
      <w:r>
        <w:t>Die zu schützenden Informationen tatsächlich über lange Zeiträume relevant bleiben (z.B. patentfreie Kerntechnologien).</w:t>
      </w:r>
    </w:p>
    <w:p>
      <w:pPr>
        <w:pStyle w:val="ListBullet"/>
      </w:pPr>
      <w:r>
        <w:t>Die Laufzeit mit einer Überprüfungsklausel versehen ist.</w:t>
      </w:r>
    </w:p>
    <w:p>
      <w:pPr>
        <w:jc w:val="left"/>
      </w:pPr>
      <w:r>
        <w:t>GeschGehG: Keine explizite Höchstlaufzeit; Grundsatz der Verhältnismäßigkeit. Für Offshore-Windtechnologie kann eine längere Schutzfrist bei nicht patentierten Verfahren gerechtfertigt sein.</w:t>
      </w:r>
    </w:p>
    <w:p/>
    <w:p>
      <w:pPr>
        <w:pStyle w:val="Heading2"/>
      </w:pPr>
      <w:r>
        <w:rPr>
          <w:rFonts w:ascii="Times New Roman" w:hAnsi="Times New Roman"/>
        </w:rPr>
        <w:t>Verhandlungsverlauf</w:t>
      </w:r>
    </w:p>
    <w:p>
      <w:pPr>
        <w:jc w:val="left"/>
      </w:pPr>
      <w:r>
        <w:t>Eickmann begründete die 7-jährige Laufzeit mit der langen Entwicklungszeit von Offshore-Windparks in Asien (5–8 Jahre vom Planungsbeginn bis zur Inbetriebnahme). RA Dr. Roosendaal anerkannte das Argument teilweise, verwies aber auf die Notwendigkeit einer Überprüfungsklausel.</w:t>
      </w:r>
    </w:p>
    <w:p>
      <w:pPr>
        <w:jc w:val="left"/>
      </w:pPr>
      <w:r>
        <w:t>Einigung auf eine gestufte Laufzeit:</w:t>
      </w:r>
    </w:p>
    <w:p>
      <w:pPr>
        <w:pStyle w:val="ListBullet"/>
      </w:pPr>
      <w:r>
        <w:t>Grundlaufzeit: 3 Jahre ab Inkrafttreten.</w:t>
      </w:r>
    </w:p>
    <w:p>
      <w:pPr>
        <w:pStyle w:val="ListBullet"/>
      </w:pPr>
      <w:r>
        <w:t>Option 1: Verlängerung um 2 Jahre, wenn JV-Hauptvertrag innerhalb von 24 Monaten abgeschlossen wurde.</w:t>
      </w:r>
    </w:p>
    <w:p>
      <w:pPr>
        <w:pStyle w:val="ListBullet"/>
      </w:pPr>
      <w:r>
        <w:t>Option 2: Weitere Verlängerung um 2 Jahre, wenn JV operativ ist und Windsysteme schriftlich zustimmt.</w:t>
      </w:r>
    </w:p>
    <w:p>
      <w:pPr>
        <w:pStyle w:val="ListBullet"/>
      </w:pPr>
      <w:r>
        <w:t>Maximale Gesamtlaufzeit: 7 Jahre (nur wenn beide Verlängerungsoptionen ausgeübt wurden).</w:t>
      </w:r>
    </w:p>
    <w:p/>
    <w:p>
      <w:pPr>
        <w:pStyle w:val="Heading2"/>
      </w:pPr>
      <w:r>
        <w:rPr>
          <w:rFonts w:ascii="Times New Roman" w:hAnsi="Times New Roman"/>
        </w:rPr>
        <w:t>Finale Fassung (NDA v7, § 7)</w:t>
      </w:r>
    </w:p>
    <w:p>
      <w:pPr>
        <w:ind w:left="567"/>
      </w:pPr>
      <w:r>
        <w:rPr>
          <w:b/>
          <w:i/>
        </w:rPr>
        <w:t>§ 7 — Laufzeit</w:t>
      </w:r>
    </w:p>
    <w:p>
      <w:pPr>
        <w:ind w:left="567"/>
      </w:pPr>
    </w:p>
    <w:p>
      <w:pPr>
        <w:ind w:left="567"/>
      </w:pPr>
      <w:r>
        <w:rPr>
          <w:i/>
        </w:rPr>
        <w:t>(1) Dieser Vertrag tritt am Tag der letzten Unterzeichnung in Kraft. Die Grundlaufzeit beträgt drei (3) Jahre.</w:t>
      </w:r>
    </w:p>
    <w:p>
      <w:pPr>
        <w:ind w:left="567"/>
      </w:pPr>
    </w:p>
    <w:p>
      <w:pPr>
        <w:ind w:left="567"/>
      </w:pPr>
      <w:r>
        <w:rPr>
          <w:i/>
        </w:rPr>
        <w:t>(2) Die Laufzeit verlängert sich automatisch um zwei (2) weitere Jahre, wenn innerhalb von 24 Monaten ab Inkrafttreten ein Joint-Venture-Hauptvertrag zwischen den Parteien unterzeichnet wurde.</w:t>
      </w:r>
    </w:p>
    <w:p>
      <w:pPr>
        <w:ind w:left="567"/>
      </w:pPr>
    </w:p>
    <w:p>
      <w:pPr>
        <w:ind w:left="567"/>
      </w:pPr>
      <w:r>
        <w:rPr>
          <w:i/>
        </w:rPr>
        <w:t>(3) Nach Ausübung der ersten Verlängerungsoption gemäß Abs. 2 kann der Vertrag durch schriftliche Einigung beider Parteien um weitere zwei (2) Jahre verlängert werden (zweite Verlängerungsoption). Die zweite Verlängerungsoption bedarf der Zustimmung von Windsysteme Norderhof AG und wird nicht automatisch ausgelöst.</w:t>
      </w:r>
    </w:p>
    <w:p>
      <w:pPr>
        <w:ind w:left="567"/>
      </w:pPr>
    </w:p>
    <w:p>
      <w:pPr>
        <w:ind w:left="567"/>
      </w:pPr>
      <w:r>
        <w:rPr>
          <w:i/>
        </w:rPr>
        <w:t>(4) Die maximale Gesamtlaufzeit dieses Vertrags beträgt sieben (7) Jahre ab Inkrafttreten.</w:t>
      </w:r>
    </w:p>
    <w:p>
      <w:pPr>
        <w:ind w:left="567"/>
      </w:pPr>
    </w:p>
    <w:p>
      <w:pPr>
        <w:ind w:left="567"/>
      </w:pPr>
      <w:r>
        <w:rPr>
          <w:i/>
        </w:rPr>
        <w:t>(5) Eine vorzeitige Beendigung durch übereinstimmende schriftliche Erklärung beider Parteien ist jederzeit möglich.</w:t>
      </w:r>
    </w:p>
    <w:p/>
    <w:p>
      <w:pPr>
        <w:pStyle w:val="Heading2"/>
      </w:pPr>
      <w:r>
        <w:rPr>
          <w:rFonts w:ascii="Times New Roman" w:hAnsi="Times New Roman"/>
        </w:rPr>
        <w:t>Rechtliche Einordnung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Aspekt</w:t>
            </w:r>
          </w:p>
        </w:tc>
        <w:tc>
          <w:tcPr>
            <w:tcW w:type="dxa" w:w="4536"/>
          </w:tcPr>
          <w:p>
            <w:r>
              <w:rPr>
                <w:rFonts w:ascii="Times New Roman" w:hAnsi="Times New Roman"/>
                <w:b/>
                <w:sz w:val="20"/>
              </w:rPr>
              <w:t>Bewertung</w:t>
            </w:r>
          </w:p>
        </w:tc>
      </w:tr>
      <w:tr>
        <w:tc>
          <w:tcPr>
            <w:tcW w:type="dxa" w:w="4536"/>
          </w:tcPr>
          <w:p>
            <w:r>
              <w:rPr>
                <w:rFonts w:ascii="Times New Roman" w:hAnsi="Times New Roman"/>
                <w:sz w:val="20"/>
              </w:rPr>
              <w:t>GeschGehG</w:t>
            </w:r>
          </w:p>
        </w:tc>
        <w:tc>
          <w:tcPr>
            <w:tcW w:type="dxa" w:w="4536"/>
          </w:tcPr>
          <w:p>
            <w:r>
              <w:rPr>
                <w:rFonts w:ascii="Times New Roman" w:hAnsi="Times New Roman"/>
                <w:sz w:val="20"/>
              </w:rPr>
              <w:t>Gestufte Laufzeit ist verhältnismäßig und GeschGehG-konform</w:t>
            </w:r>
          </w:p>
        </w:tc>
      </w:tr>
      <w:tr>
        <w:tc>
          <w:tcPr>
            <w:tcW w:type="dxa" w:w="4536"/>
          </w:tcPr>
          <w:p>
            <w:r>
              <w:rPr>
                <w:rFonts w:ascii="Times New Roman" w:hAnsi="Times New Roman"/>
                <w:sz w:val="20"/>
              </w:rPr>
              <w:t>§ 307 BGB</w:t>
            </w:r>
          </w:p>
        </w:tc>
        <w:tc>
          <w:tcPr>
            <w:tcW w:type="dxa" w:w="4536"/>
          </w:tcPr>
          <w:p>
            <w:r>
              <w:rPr>
                <w:rFonts w:ascii="Times New Roman" w:hAnsi="Times New Roman"/>
                <w:sz w:val="20"/>
              </w:rPr>
              <w:t>Kein automatischer Abruf der 7-Jahres-Laufzeit; Windsysteme-Zustimmung für zweite Verlängerung: angemessen</w:t>
            </w:r>
          </w:p>
        </w:tc>
      </w:tr>
      <w:tr>
        <w:tc>
          <w:tcPr>
            <w:tcW w:type="dxa" w:w="4536"/>
          </w:tcPr>
          <w:p>
            <w:r>
              <w:rPr>
                <w:rFonts w:ascii="Times New Roman" w:hAnsi="Times New Roman"/>
                <w:sz w:val="20"/>
              </w:rPr>
              <w:t>Praxis</w:t>
            </w:r>
          </w:p>
        </w:tc>
        <w:tc>
          <w:tcPr>
            <w:tcW w:type="dxa" w:w="4536"/>
          </w:tcPr>
          <w:p>
            <w:r>
              <w:rPr>
                <w:rFonts w:ascii="Times New Roman" w:hAnsi="Times New Roman"/>
                <w:sz w:val="20"/>
              </w:rPr>
              <w:t>Gestufte Laufzeit ist praktikabler Kompromiss</w:t>
            </w:r>
          </w:p>
        </w:tc>
      </w:tr>
    </w:tbl>
    <w:p>
      <w:pPr>
        <w:jc w:val="left"/>
      </w:pPr>
      <w:r>
        <w:rPr>
          <w:b/>
        </w:rPr>
        <w:t>Ergebnis:</w:t>
      </w:r>
      <w:r>
        <w:t xml:space="preserve"> Einigung für Windsysteme akzeptabel. Maximale Laufzeit nur bei aktivem JV-Betrieb erreichbar.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