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Klauselabgleich: Gerichtsstand und anwendbares Recht</w:t>
      </w:r>
    </w:p>
    <w:p>
      <w:pPr>
        <w:jc w:val="left"/>
      </w:pPr>
      <w:r>
        <w:rPr>
          <w:b/>
        </w:rPr>
        <w:t>AZ:</w:t>
      </w:r>
      <w:r>
        <w:t xml:space="preserve"> MR-2026-1118</w:t>
      </w:r>
    </w:p>
    <w:p>
      <w:pPr>
        <w:jc w:val="left"/>
      </w:pPr>
      <w:r>
        <w:rPr>
          <w:b/>
        </w:rPr>
        <w:t>Klausel:</w:t>
      </w:r>
      <w:r>
        <w:t xml:space="preserve"> Governing Law / Dispute Resolution</w:t>
      </w:r>
    </w:p>
    <w:p>
      <w:pPr>
        <w:jc w:val="left"/>
      </w:pPr>
      <w:r>
        <w:rPr>
          <w:b/>
        </w:rPr>
        <w:t>Stand nach Verhandlung:</w:t>
      </w:r>
      <w:r>
        <w:t xml:space="preserve"> NDA v7, § 15</w:t>
      </w:r>
    </w:p>
    <w:p>
      <w:pPr>
        <w:jc w:val="left"/>
      </w:pPr>
      <w:r>
        <w:rPr>
          <w:b/>
        </w:rPr>
        <w:t>Rechtsgrundlagen:</w:t>
      </w:r>
      <w:r>
        <w:t xml:space="preserve"> SIAC Rules 2016; DIS-SchO 2018; VO (EG) Nr. 593/2008 (Rom I); VO (EG) Nr. 864/2007 (Rom II)</w:t>
      </w:r>
    </w:p>
    <w:p/>
    <w:p>
      <w:pPr>
        <w:pStyle w:val="Heading2"/>
      </w:pPr>
      <w:r>
        <w:rPr>
          <w:rFonts w:ascii="Times New Roman" w:hAnsi="Times New Roman"/>
        </w:rPr>
        <w:t>Ausgangspositionen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Partei</w:t>
            </w:r>
          </w:p>
        </w:tc>
        <w:tc>
          <w:tcPr>
            <w:tcW w:type="dxa" w:w="3024"/>
          </w:tcPr>
          <w:p>
            <w:r>
              <w:rPr>
                <w:rFonts w:ascii="Times New Roman" w:hAnsi="Times New Roman"/>
                <w:b/>
                <w:sz w:val="20"/>
              </w:rPr>
              <w:t>Rechtswahl</w:t>
            </w:r>
          </w:p>
        </w:tc>
        <w:tc>
          <w:tcPr>
            <w:tcW w:type="dxa" w:w="3024"/>
          </w:tcPr>
          <w:p>
            <w:r>
              <w:rPr>
                <w:rFonts w:ascii="Times New Roman" w:hAnsi="Times New Roman"/>
                <w:b/>
                <w:sz w:val="20"/>
              </w:rPr>
              <w:t>Streitbeilegung</w:t>
            </w:r>
          </w:p>
        </w:tc>
      </w:tr>
      <w:tr>
        <w:tc>
          <w:tcPr>
            <w:tcW w:type="dxa" w:w="3024"/>
          </w:tcPr>
          <w:p>
            <w:r>
              <w:rPr>
                <w:rFonts w:ascii="Times New Roman" w:hAnsi="Times New Roman"/>
                <w:sz w:val="20"/>
              </w:rPr>
              <w:t>Eickmann</w:t>
            </w:r>
          </w:p>
        </w:tc>
        <w:tc>
          <w:tcPr>
            <w:tcW w:type="dxa" w:w="3024"/>
          </w:tcPr>
          <w:p>
            <w:r>
              <w:rPr>
                <w:rFonts w:ascii="Times New Roman" w:hAnsi="Times New Roman"/>
                <w:sz w:val="20"/>
              </w:rPr>
              <w:t>Singapurer Recht</w:t>
            </w:r>
          </w:p>
        </w:tc>
        <w:tc>
          <w:tcPr>
            <w:tcW w:type="dxa" w:w="3024"/>
          </w:tcPr>
          <w:p>
            <w:r>
              <w:rPr>
                <w:rFonts w:ascii="Times New Roman" w:hAnsi="Times New Roman"/>
                <w:sz w:val="20"/>
              </w:rPr>
              <w:t>SIAC-Schiedsverfahren, Singapur</w:t>
            </w:r>
          </w:p>
        </w:tc>
      </w:tr>
      <w:tr>
        <w:tc>
          <w:tcPr>
            <w:tcW w:type="dxa" w:w="3024"/>
          </w:tcPr>
          <w:p>
            <w:r>
              <w:rPr>
                <w:rFonts w:ascii="Times New Roman" w:hAnsi="Times New Roman"/>
                <w:sz w:val="20"/>
              </w:rPr>
              <w:t>Windsysteme</w:t>
            </w:r>
          </w:p>
        </w:tc>
        <w:tc>
          <w:tcPr>
            <w:tcW w:type="dxa" w:w="3024"/>
          </w:tcPr>
          <w:p>
            <w:r>
              <w:rPr>
                <w:rFonts w:ascii="Times New Roman" w:hAnsi="Times New Roman"/>
                <w:sz w:val="20"/>
              </w:rPr>
              <w:t>Deutsches Recht</w:t>
            </w:r>
          </w:p>
        </w:tc>
        <w:tc>
          <w:tcPr>
            <w:tcW w:type="dxa" w:w="3024"/>
          </w:tcPr>
          <w:p>
            <w:r>
              <w:rPr>
                <w:rFonts w:ascii="Times New Roman" w:hAnsi="Times New Roman"/>
                <w:sz w:val="20"/>
              </w:rPr>
              <w:t>LG Hamburg (ordentliches Gericht) oder DIS, Hamburg</w:t>
            </w:r>
          </w:p>
        </w:tc>
      </w:tr>
    </w:tbl>
    <w:p/>
    <w:p>
      <w:pPr>
        <w:pStyle w:val="Heading2"/>
      </w:pPr>
      <w:r>
        <w:rPr>
          <w:rFonts w:ascii="Times New Roman" w:hAnsi="Times New Roman"/>
        </w:rPr>
        <w:t>Analyse SIAC-Klausel (Eickmann v1)</w:t>
      </w:r>
    </w:p>
    <w:p>
      <w:pPr>
        <w:jc w:val="left"/>
      </w:pPr>
      <w:r>
        <w:rPr>
          <w:b/>
        </w:rPr>
        <w:t>SIAC Rules 2016</w:t>
      </w:r>
      <w:r>
        <w:t xml:space="preserve"> sind ein etabliertes internationales Schiedsregelwerk. Schiedssprüche sind nach dem New Yorker Übereinkommen von 1958 (NYÜ) in über 170 Staaten vollstreckbar, einschließlich Deutschland (§§ 1025 ff. ZPO).</w:t>
      </w:r>
    </w:p>
    <w:p>
      <w:pPr>
        <w:jc w:val="left"/>
      </w:pPr>
      <w:r>
        <w:t>Nachteile einer SIAC-Klausel für Windsysteme:</w:t>
      </w:r>
    </w:p>
    <w:p>
      <w:pPr>
        <w:pStyle w:val="ListNumber"/>
      </w:pPr>
      <w:r>
        <w:t>Schiedsort Singapur bedeutet Reisekosten, Zeitzonendifferenz, erheblich höhere Anwaltskosten (Singapurer Anwälte oder international tätige Kanzlei).</w:t>
      </w:r>
    </w:p>
    <w:p>
      <w:pPr>
        <w:pStyle w:val="ListNumber"/>
      </w:pPr>
      <w:r>
        <w:t>Singapurer Vertragsrecht ist für Windsysteme weniger bekannt; Rechtsberatungskosten höher.</w:t>
      </w:r>
    </w:p>
    <w:p>
      <w:pPr>
        <w:pStyle w:val="ListNumber"/>
      </w:pPr>
      <w:r>
        <w:t>SIAC-Verfahren: Kostenvorschuss typischerweise USD 100.000–500.000 je nach Streitwert.</w:t>
      </w:r>
    </w:p>
    <w:p>
      <w:pPr>
        <w:pStyle w:val="ListNumber"/>
      </w:pPr>
      <w:r>
        <w:t>Keine einstweiligen Verfügungen nach deutschem Recht (§ 935 ZPO) möglich; ersetzt durch Emergency Arbitrator nach SIAC Rules Rule 30 — aber langsamer.</w:t>
      </w:r>
    </w:p>
    <w:p/>
    <w:p>
      <w:pPr>
        <w:pStyle w:val="Heading2"/>
      </w:pPr>
      <w:r>
        <w:rPr>
          <w:rFonts w:ascii="Times New Roman" w:hAnsi="Times New Roman"/>
        </w:rPr>
        <w:t>Analyse DIS-Klausel (Windsysteme v2)</w:t>
      </w:r>
    </w:p>
    <w:p>
      <w:pPr>
        <w:jc w:val="left"/>
      </w:pPr>
      <w:r>
        <w:rPr>
          <w:b/>
        </w:rPr>
        <w:t>Deutsche Institution für Schiedsgerichtsbarkeit (DIS), DIS-SchO 2018:</w:t>
      </w:r>
      <w:r>
        <w:t xml:space="preserve"> Bewährt für deutsch-asiatische Handelsstreitigkeiten. Schiedsort Hamburg, Schiedssprache Deutsch.</w:t>
      </w:r>
    </w:p>
    <w:p>
      <w:pPr>
        <w:jc w:val="left"/>
      </w:pPr>
      <w:r>
        <w:t>Vorteile:</w:t>
      </w:r>
    </w:p>
    <w:p>
      <w:pPr>
        <w:pStyle w:val="ListBullet"/>
      </w:pPr>
      <w:r>
        <w:t>Deutsches Recht anwendbar; Windsystemes Heimrecht.</w:t>
      </w:r>
    </w:p>
    <w:p>
      <w:pPr>
        <w:pStyle w:val="ListBullet"/>
      </w:pPr>
      <w:r>
        <w:t>Einstweilige Verfügungen vor deutschen Gerichten als Unterstützungsmaßnahmen möglich (§ 1033 ZPO).</w:t>
      </w:r>
    </w:p>
    <w:p>
      <w:pPr>
        <w:pStyle w:val="ListBullet"/>
      </w:pPr>
      <w:r>
        <w:t>Vollstreckung in Singapur via NYÜ möglich.</w:t>
      </w:r>
    </w:p>
    <w:p>
      <w:pPr>
        <w:pStyle w:val="ListBullet"/>
      </w:pPr>
      <w:r>
        <w:t>Geringere Kosten im Vergleich zu SIAC für eine deutsche Partei.</w:t>
      </w:r>
    </w:p>
    <w:p/>
    <w:p>
      <w:pPr>
        <w:pStyle w:val="Heading2"/>
      </w:pPr>
      <w:r>
        <w:rPr>
          <w:rFonts w:ascii="Times New Roman" w:hAnsi="Times New Roman"/>
        </w:rPr>
        <w:t>Verhandlungsverlauf (Tag 1 und 2)</w:t>
      </w:r>
    </w:p>
    <w:p>
      <w:pPr>
        <w:jc w:val="left"/>
      </w:pPr>
      <w:r>
        <w:t>Eickmann bestand zunächst auf SIAC, da ihre Banken und Investoren SIAC-Klauseln für asiatische Transaktionen bevorzugen. RA Dr. Roosendaal bot folgende Kompromissoptionen an:</w:t>
      </w:r>
    </w:p>
    <w:p>
      <w:pPr>
        <w:pStyle w:val="ListBullet"/>
      </w:pPr>
      <w:r>
        <w:t>Option A: DIS, Hamburg, deutsches Recht (Windsysteme-Idealposition).</w:t>
      </w:r>
    </w:p>
    <w:p>
      <w:pPr>
        <w:pStyle w:val="ListBullet"/>
      </w:pPr>
      <w:r>
        <w:t>Option B: ICC International Court of Arbitration, Sitz Frankfurt, deutsches Recht.</w:t>
      </w:r>
    </w:p>
    <w:p>
      <w:pPr>
        <w:pStyle w:val="ListBullet"/>
      </w:pPr>
      <w:r>
        <w:t>Option C: SIAC, Singapur, deutsches Recht als Vertragsstatut.</w:t>
      </w:r>
    </w:p>
    <w:p>
      <w:pPr>
        <w:jc w:val="left"/>
      </w:pPr>
      <w:r>
        <w:t>Eickmann akzeptierte Option A (DIS Hamburg) gegen Zugeständnis von Windsysteme bei der Laufzeit (vgl. Aktenstück 09).</w:t>
      </w:r>
    </w:p>
    <w:p/>
    <w:p>
      <w:pPr>
        <w:pStyle w:val="Heading2"/>
      </w:pPr>
      <w:r>
        <w:rPr>
          <w:rFonts w:ascii="Times New Roman" w:hAnsi="Times New Roman"/>
        </w:rPr>
        <w:t>Finale Fassung (NDA v7, § 15)</w:t>
      </w:r>
    </w:p>
    <w:p>
      <w:pPr>
        <w:ind w:left="567"/>
      </w:pPr>
      <w:r>
        <w:rPr>
          <w:b/>
          <w:i/>
        </w:rPr>
        <w:t>§ 15 — Anwendbares Recht und Streitbeilegung</w:t>
      </w:r>
    </w:p>
    <w:p>
      <w:pPr>
        <w:ind w:left="567"/>
      </w:pPr>
    </w:p>
    <w:p>
      <w:pPr>
        <w:ind w:left="567"/>
      </w:pPr>
      <w:r>
        <w:rPr>
          <w:i/>
        </w:rPr>
        <w:t>(1) Dieser Vertrag unterliegt dem Recht der Bundesrepublik Deutschland unter Ausschluss des Übereinkommens der Vereinten Nationen über Verträge über den internationalen Warenkauf (CISG).</w:t>
      </w:r>
    </w:p>
    <w:p>
      <w:pPr>
        <w:ind w:left="567"/>
      </w:pPr>
    </w:p>
    <w:p>
      <w:pPr>
        <w:ind w:left="567"/>
      </w:pPr>
      <w:r>
        <w:rPr>
          <w:i/>
        </w:rPr>
        <w:t>(2) Alle Streitigkeiten, die sich aus oder im Zusammenhang mit diesem Vertrag ergeben, einschließlich Streitigkeiten über seine Gültigkeit, Auslegung, Erfüllung oder Beendigung, werden, sofern keine gütliche Einigung innerhalb von 30 Kalendertagen nach schriftlicher Anzeige des Streitfalls erzielt werden kann, endgültig durch ein Schiedsverfahren nach der Deutschen Institution für Schiedsgerichtsbarkeit (DIS-SchO 2018) entschieden.</w:t>
      </w:r>
    </w:p>
    <w:p>
      <w:pPr>
        <w:ind w:left="567"/>
      </w:pPr>
    </w:p>
    <w:p>
      <w:pPr>
        <w:ind w:left="567"/>
      </w:pPr>
      <w:r>
        <w:rPr>
          <w:i/>
        </w:rPr>
        <w:t>(3) Schiedsort ist Hamburg. Schiedssprache ist Deutsch. Das Schiedsgericht besteht aus drei Schiedsrichtern, von denen jede Partei einen benennt; der dritte Schiedsrichter (Vorsitzender) wird von den beiden Partei-Schiedsrichtern oder, bei Uneinigkeit, von der DIS bestimmt.</w:t>
      </w:r>
    </w:p>
    <w:p>
      <w:pPr>
        <w:ind w:left="567"/>
      </w:pPr>
    </w:p>
    <w:p>
      <w:pPr>
        <w:ind w:left="567"/>
      </w:pPr>
      <w:r>
        <w:rPr>
          <w:i/>
        </w:rPr>
        <w:t>(4) Ungeachtet von Abs. 2 ist jede Partei berechtigt, bei dem für den Beklagten zuständigen Gericht einstweiligen Rechtsschutz zu beantragen. Die Geltendmachung einstweiligen Rechtsschutzes vor einem staatlichen Gericht gilt nicht als Verzicht auf die Schiedsklausel.</w:t>
      </w:r>
    </w:p>
    <w:p/>
    <w:p>
      <w:pPr>
        <w:pStyle w:val="Heading2"/>
      </w:pPr>
      <w:r>
        <w:rPr>
          <w:rFonts w:ascii="Times New Roman" w:hAnsi="Times New Roman"/>
        </w:rPr>
        <w:t>Rechtliche Einordnung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Rom I VO</w:t>
            </w:r>
          </w:p>
        </w:tc>
        <w:tc>
          <w:tcPr>
            <w:tcW w:type="dxa" w:w="4536"/>
          </w:tcPr>
          <w:p>
            <w:r>
              <w:rPr>
                <w:rFonts w:ascii="Times New Roman" w:hAnsi="Times New Roman"/>
                <w:sz w:val="20"/>
              </w:rPr>
              <w:t>Rechtswahl deutsches Recht zulässig</w:t>
            </w:r>
          </w:p>
        </w:tc>
      </w:tr>
      <w:tr>
        <w:tc>
          <w:tcPr>
            <w:tcW w:type="dxa" w:w="4536"/>
          </w:tcPr>
          <w:p>
            <w:r>
              <w:rPr>
                <w:rFonts w:ascii="Times New Roman" w:hAnsi="Times New Roman"/>
                <w:sz w:val="20"/>
              </w:rPr>
              <w:t>NYÜ</w:t>
            </w:r>
          </w:p>
        </w:tc>
        <w:tc>
          <w:tcPr>
            <w:tcW w:type="dxa" w:w="4536"/>
          </w:tcPr>
          <w:p>
            <w:r>
              <w:rPr>
                <w:rFonts w:ascii="Times New Roman" w:hAnsi="Times New Roman"/>
                <w:sz w:val="20"/>
              </w:rPr>
              <w:t>DIS-Schiedssprüche in Singapur vollstreckbar</w:t>
            </w:r>
          </w:p>
        </w:tc>
      </w:tr>
      <w:tr>
        <w:tc>
          <w:tcPr>
            <w:tcW w:type="dxa" w:w="4536"/>
          </w:tcPr>
          <w:p>
            <w:r>
              <w:rPr>
                <w:rFonts w:ascii="Times New Roman" w:hAnsi="Times New Roman"/>
                <w:sz w:val="20"/>
              </w:rPr>
              <w:t>§ 1033 ZPO</w:t>
            </w:r>
          </w:p>
        </w:tc>
        <w:tc>
          <w:tcPr>
            <w:tcW w:type="dxa" w:w="4536"/>
          </w:tcPr>
          <w:p>
            <w:r>
              <w:rPr>
                <w:rFonts w:ascii="Times New Roman" w:hAnsi="Times New Roman"/>
                <w:sz w:val="20"/>
              </w:rPr>
              <w:t>Einstweiliger Rechtsschutz parallel möglich</w:t>
            </w:r>
          </w:p>
        </w:tc>
      </w:tr>
      <w:tr>
        <w:tc>
          <w:tcPr>
            <w:tcW w:type="dxa" w:w="4536"/>
          </w:tcPr>
          <w:p>
            <w:r>
              <w:rPr>
                <w:rFonts w:ascii="Times New Roman" w:hAnsi="Times New Roman"/>
                <w:sz w:val="20"/>
              </w:rPr>
              <w:t>DIS-SchO 2018</w:t>
            </w:r>
          </w:p>
        </w:tc>
        <w:tc>
          <w:tcPr>
            <w:tcW w:type="dxa" w:w="4536"/>
          </w:tcPr>
          <w:p>
            <w:r>
              <w:rPr>
                <w:rFonts w:ascii="Times New Roman" w:hAnsi="Times New Roman"/>
                <w:sz w:val="20"/>
              </w:rPr>
              <w:t>Modernes, effizientes Regelwerk</w:t>
            </w:r>
          </w:p>
        </w:tc>
      </w:tr>
    </w:tbl>
    <w:p>
      <w:pPr>
        <w:jc w:val="left"/>
      </w:pPr>
      <w:r>
        <w:rPr>
          <w:b/>
        </w:rPr>
        <w:t>Ergebnis:</w:t>
      </w:r>
      <w:r>
        <w:t xml:space="preserve"> Für Windsysteme optimales Ergebnis. DIS Hamburg entspricht der Windsysteme-Idealposition.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