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11 — Klauselabgleich: Exportkontrolle / Iran-Projekt</w:t>
      </w:r>
    </w:p>
    <w:p>
      <w:pPr>
        <w:jc w:val="left"/>
      </w:pPr>
      <w:r>
        <w:rPr>
          <w:b/>
        </w:rPr>
        <w:t>AZ:</w:t>
      </w:r>
      <w:r>
        <w:t xml:space="preserve"> MR-2026-1118</w:t>
      </w:r>
    </w:p>
    <w:p>
      <w:pPr>
        <w:jc w:val="left"/>
      </w:pPr>
      <w:r>
        <w:rPr>
          <w:b/>
        </w:rPr>
        <w:t>Klausel:</w:t>
      </w:r>
      <w:r>
        <w:t xml:space="preserve"> Exportkontrolle</w:t>
      </w:r>
    </w:p>
    <w:p>
      <w:pPr>
        <w:jc w:val="left"/>
      </w:pPr>
      <w:r>
        <w:rPr>
          <w:b/>
        </w:rPr>
        <w:t>BAFA-Az.:</w:t>
      </w:r>
      <w:r>
        <w:t xml:space="preserve"> 4022-26/Iran-WS-188</w:t>
      </w:r>
    </w:p>
    <w:p>
      <w:pPr>
        <w:jc w:val="left"/>
      </w:pPr>
      <w:r>
        <w:rPr>
          <w:b/>
        </w:rPr>
        <w:t>Stand:</w:t>
      </w:r>
      <w:r>
        <w:t xml:space="preserve"> NDA v7, § 11</w:t>
      </w:r>
    </w:p>
    <w:p>
      <w:pPr>
        <w:jc w:val="left"/>
      </w:pPr>
      <w:r>
        <w:rPr>
          <w:b/>
        </w:rPr>
        <w:t>Rechtsgrundlagen:</w:t>
      </w:r>
      <w:r>
        <w:t xml:space="preserve"> AWG §§ 4, 17; AWV; VO (EU) 267/2012; VO (EU) 833/2014; EU-Dual-Use-VO (VO (EU) 2021/821)</w:t>
      </w:r>
    </w:p>
    <w:p/>
    <w:p>
      <w:pPr>
        <w:pStyle w:val="Heading2"/>
      </w:pPr>
      <w:r>
        <w:rPr>
          <w:rFonts w:ascii="Times New Roman" w:hAnsi="Times New Roman"/>
        </w:rPr>
        <w:t>Ausgangslage</w:t>
      </w:r>
    </w:p>
    <w:p>
      <w:pPr>
        <w:jc w:val="left"/>
      </w:pPr>
      <w:r>
        <w:t xml:space="preserve">Der Eickmann-NDA-Entwurf v1 enthielt </w:t>
      </w:r>
      <w:r>
        <w:rPr>
          <w:b/>
        </w:rPr>
        <w:t>keine Exportkontrollklausel</w:t>
      </w:r>
      <w:r>
        <w:t>. Dies ist für eine deutsch-singapurische Vereinbarung, die möglicherweise Iran-bezogene Güter erfasst, ein gravierender Mangel.</w:t>
      </w:r>
    </w:p>
    <w:p/>
    <w:p>
      <w:pPr>
        <w:pStyle w:val="Heading2"/>
      </w:pPr>
      <w:r>
        <w:rPr>
          <w:rFonts w:ascii="Times New Roman" w:hAnsi="Times New Roman"/>
        </w:rPr>
        <w:t>Rechtlicher Rahmen</w:t>
      </w:r>
    </w:p>
    <w:p>
      <w:pPr>
        <w:pStyle w:val="Heading3"/>
      </w:pPr>
      <w:r>
        <w:rPr>
          <w:rFonts w:ascii="Times New Roman" w:hAnsi="Times New Roman"/>
        </w:rPr>
        <w:t>AWG und AWV</w:t>
      </w:r>
    </w:p>
    <w:p>
      <w:pPr>
        <w:jc w:val="left"/>
      </w:pPr>
      <w:r>
        <w:t>Das Außenwirtschaftsgesetz (AWG) i.V.m. der Außenwirtschaftsverordnung (AWV) bildet den deutschen Rechtsrahmen für Exportkontrollen. Verstöße gegen genehmigungspflichtige Güterausfuhren können nach AWG § 17 mit Freiheitsstrafe von bis zu 5 Jahren oder Geldstrafe bestraft werden. § 18 AWG: bis zu 15 Jahren bei schwerwiegenden Fällen (Massenvernichtungswaffen, CBRN-Güter).</w:t>
      </w:r>
    </w:p>
    <w:p>
      <w:pPr>
        <w:pStyle w:val="Heading3"/>
      </w:pPr>
      <w:r>
        <w:rPr>
          <w:rFonts w:ascii="Times New Roman" w:hAnsi="Times New Roman"/>
        </w:rPr>
        <w:t>VO (EU) 267/2012 — Iran-Sanktionen</w:t>
      </w:r>
    </w:p>
    <w:p>
      <w:pPr>
        <w:jc w:val="left"/>
      </w:pPr>
      <w:r>
        <w:t>Die VO (EU) 267/2012 (Iran-Sanktionsregime) untersagt u.a.:</w:t>
      </w:r>
    </w:p>
    <w:p>
      <w:pPr>
        <w:pStyle w:val="ListBullet"/>
      </w:pPr>
      <w:r>
        <w:t>Ausfuhr von Gütern und Technologien nach Anhang VII und VIII an im Iran ansässige Unternehmen.</w:t>
      </w:r>
    </w:p>
    <w:p>
      <w:pPr>
        <w:pStyle w:val="ListBullet"/>
      </w:pPr>
      <w:r>
        <w:t>Bereitstellung von technischer Hilfe oder Finanzmitteln für den Iran-Energiesektor.</w:t>
      </w:r>
    </w:p>
    <w:p>
      <w:pPr>
        <w:pStyle w:val="ListBullet"/>
      </w:pPr>
      <w:r>
        <w:t>Geschäfte mit designierten iranischen Unternehmen (Anhang IX enthält Sanktionsliste).</w:t>
      </w:r>
    </w:p>
    <w:p>
      <w:pPr>
        <w:jc w:val="left"/>
      </w:pPr>
      <w:r>
        <w:rPr>
          <w:b/>
        </w:rPr>
        <w:t>MAPNA Group</w:t>
      </w:r>
      <w:r>
        <w:t xml:space="preserve"> (iranischer Staatskonzern, potenzieller Endabnehmer) ist zu prüfen, ob sie auf der Anhang-IX-Liste steht. Stand Januar 2026: MAPNA Group ist nicht gelistet, aber Tochtergesellschaften können es sein.</w:t>
      </w:r>
    </w:p>
    <w:p>
      <w:pPr>
        <w:pStyle w:val="Heading3"/>
      </w:pPr>
      <w:r>
        <w:rPr>
          <w:rFonts w:ascii="Times New Roman" w:hAnsi="Times New Roman"/>
        </w:rPr>
        <w:t>Dual-Use-VO (EU) 2021/821</w:t>
      </w:r>
    </w:p>
    <w:p>
      <w:pPr>
        <w:jc w:val="left"/>
      </w:pPr>
      <w:r>
        <w:t>Windturbinengetriebe (Produktgruppe Antriebsstränge) sind grundsätzlich zivil; jedoch können bestimmte Präzisionsgetriebe unter Nr. 2B350 (chemische Ausrüstung) oder — relevanter — für bestimmte Marine-Anwendungen — unter Anhang I der EU-Dual-Use-VO fallen. BAFA-Vorabauskunft erforderlich.</w:t>
      </w:r>
    </w:p>
    <w:p/>
    <w:p>
      <w:pPr>
        <w:pStyle w:val="Heading2"/>
      </w:pPr>
      <w:r>
        <w:rPr>
          <w:rFonts w:ascii="Times New Roman" w:hAnsi="Times New Roman"/>
        </w:rPr>
        <w:t>BAFA-Vorabauskunft Az. 4022-26/Iran-WS-188</w:t>
      </w:r>
    </w:p>
    <w:p>
      <w:pPr>
        <w:jc w:val="left"/>
      </w:pPr>
      <w:r>
        <w:t>Gestellt am 18. Januar 2026 durch RA Dr. Roosendaal für Windsysteme. Inhalt der Anfrage:</w:t>
      </w:r>
    </w:p>
    <w:p>
      <w:pPr>
        <w:pStyle w:val="ListNumber"/>
      </w:pPr>
      <w:r>
        <w:t>Einordnung von Offshore-Windturbinengetrieben der Baureihe WN-7000 und WN-9500 nach EU-Dual-Use-VO 2021/821.</w:t>
      </w:r>
    </w:p>
    <w:p>
      <w:pPr>
        <w:pStyle w:val="ListNumber"/>
      </w:pPr>
      <w:r>
        <w:t>Anwendbarkeit von VO (EU) 267/2012 auf Lieferungen an MAPNA-Tochtergesellschaften in Iran.</w:t>
      </w:r>
    </w:p>
    <w:p>
      <w:pPr>
        <w:pStyle w:val="ListNumber"/>
      </w:pPr>
      <w:r>
        <w:t>Genehmigungspflicht für Übermittlung technischer Daten (CAD, Spezifikationen) an Eickmann Pte. Ltd. für Iran-Projekt.</w:t>
      </w:r>
    </w:p>
    <w:p>
      <w:pPr>
        <w:jc w:val="left"/>
      </w:pPr>
      <w:r>
        <w:t>Stand: Antwort BAFA ausstehend (Bearbeitungszeit typisch 4–8 Wochen).</w:t>
      </w:r>
    </w:p>
    <w:p/>
    <w:p>
      <w:pPr>
        <w:pStyle w:val="Heading2"/>
      </w:pPr>
      <w:r>
        <w:rPr>
          <w:rFonts w:ascii="Times New Roman" w:hAnsi="Times New Roman"/>
        </w:rPr>
        <w:t>Windsysteme-Forderung: Exportkontrollklausel</w:t>
      </w:r>
    </w:p>
    <w:p>
      <w:pPr>
        <w:jc w:val="left"/>
      </w:pPr>
      <w:r>
        <w:t>Windsysteme bestand auf Aufnahme einer ausdrücklichen Exportkontrollklausel, die:</w:t>
      </w:r>
    </w:p>
    <w:p>
      <w:pPr>
        <w:pStyle w:val="ListBullet"/>
      </w:pPr>
      <w:r>
        <w:t>Beide Parteien zur Einhaltung aller einschlägigen Exportkontrollvorschriften verpflichtet.</w:t>
      </w:r>
    </w:p>
    <w:p>
      <w:pPr>
        <w:pStyle w:val="ListBullet"/>
      </w:pPr>
      <w:r>
        <w:t>Den Informationsaustausch im Iran-Kontext bis zur positiven BAFA-Vorabauskunft sperrt.</w:t>
      </w:r>
    </w:p>
    <w:p>
      <w:pPr>
        <w:pStyle w:val="ListBullet"/>
      </w:pPr>
      <w:r>
        <w:t>Bei Sanktionsverstoß einer Partei ein Sonderkündigungsrecht der anderen Partei vorsieht.</w:t>
      </w:r>
    </w:p>
    <w:p/>
    <w:p>
      <w:pPr>
        <w:pStyle w:val="Heading2"/>
      </w:pPr>
      <w:r>
        <w:rPr>
          <w:rFonts w:ascii="Times New Roman" w:hAnsi="Times New Roman"/>
        </w:rPr>
        <w:t>Finale Fassung (NDA v7, § 11)</w:t>
      </w:r>
    </w:p>
    <w:p>
      <w:pPr>
        <w:ind w:left="567"/>
      </w:pPr>
      <w:r>
        <w:rPr>
          <w:b/>
          <w:i/>
        </w:rPr>
        <w:t>§ 11 — Exportkontrolle und Sanktionen</w:t>
      </w:r>
    </w:p>
    <w:p>
      <w:pPr>
        <w:ind w:left="567"/>
      </w:pPr>
    </w:p>
    <w:p>
      <w:pPr>
        <w:ind w:left="567"/>
      </w:pPr>
      <w:r>
        <w:rPr>
          <w:i/>
        </w:rPr>
        <w:t>(1) Beide Parteien verpflichten sich, alle anwendbaren Exportkontroll- und Sanktionsvorschriften einzuhalten, insbesondere AWG, AWV sowie unmittelbar anwendbare EU-Verordnungen, einschließlich der VO (EU) 267/2012 (Iran) und der VO (EU) 2021/821 (Dual-Use).</w:t>
      </w:r>
    </w:p>
    <w:p>
      <w:pPr>
        <w:ind w:left="567"/>
      </w:pPr>
    </w:p>
    <w:p>
      <w:pPr>
        <w:ind w:left="567"/>
      </w:pPr>
      <w:r>
        <w:rPr>
          <w:i/>
        </w:rPr>
        <w:t>(2) Ein Austausch von Vertraulichen Informationen mit Bezug auf das Iran-Pilotprojekt (MAPNA-Gruppe oder Tochtergesellschaften) findet ausschließlich nach Vorliegen einer positiven Vorabauskunft des Bundesamts für Wirtschaft und Ausfuhrkontrolle (BAFA) statt (Az. 4022-26/Iran-WS-188) oder nach Erteilung einer etwaig erforderlichen Ausfuhrgenehmigung.</w:t>
      </w:r>
    </w:p>
    <w:p>
      <w:pPr>
        <w:ind w:left="567"/>
      </w:pPr>
    </w:p>
    <w:p>
      <w:pPr>
        <w:ind w:left="567"/>
      </w:pPr>
      <w:r>
        <w:rPr>
          <w:i/>
        </w:rPr>
        <w:t>(3) Jede Partei verpflichtet sich, die andere unverzüglich zu informieren, wenn sie Kenntnis davon erlangt, dass eine Weitergabe von Vertraulichen Informationen gegen Exportkontroll- oder Sanktionsvorschriften verstoßen könnte.</w:t>
      </w:r>
    </w:p>
    <w:p>
      <w:pPr>
        <w:ind w:left="567"/>
      </w:pPr>
    </w:p>
    <w:p>
      <w:pPr>
        <w:ind w:left="567"/>
      </w:pPr>
      <w:r>
        <w:rPr>
          <w:i/>
        </w:rPr>
        <w:t>(4) Bei einem nachgewiesenen Verstoß einer Partei gegen Exportkontroll- oder Sanktionsvorschriften im Zusammenhang mit diesem Vertrag ist die andere Partei berechtigt, diesen Vertrag mit sofortiger Wirkung außerordentlich zu kündigen.</w:t>
      </w:r>
    </w:p>
    <w:p/>
    <w:p>
      <w:pPr>
        <w:pStyle w:val="Heading2"/>
      </w:pPr>
      <w:r>
        <w:rPr>
          <w:rFonts w:ascii="Times New Roman" w:hAnsi="Times New Roman"/>
        </w:rPr>
        <w:t>Rechtliche Einordnung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Aspekt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Bewertung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AWG § 17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Strafbarkeitsrisiko durch Klausel minimiert; Compliance-Verpflichtung klar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VO (EU) 267/2012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Explizite Nennung; Iran-Bezug klar adressiert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BAFA-Condition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Informationsaustausch Iran-Kontext konditioniert: beste Lösung für Windsysteme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Sonderkündigungsrecht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Schutz Windsysteme bei Eickmann-Verstößen</w:t>
            </w:r>
          </w:p>
        </w:tc>
      </w:tr>
    </w:tbl>
    <w:p>
      <w:pPr>
        <w:jc w:val="left"/>
      </w:pPr>
      <w:r>
        <w:rPr>
          <w:b/>
        </w:rPr>
        <w:t>Ergebnis:</w:t>
      </w:r>
      <w:r>
        <w:t xml:space="preserve"> Für Windsysteme sehr wichtige Klausel; vollständig durchgesetzt.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