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Klauselabgleich: Residual-Information-Klausel</w:t>
      </w:r>
    </w:p>
    <w:p>
      <w:pPr>
        <w:jc w:val="left"/>
      </w:pPr>
      <w:r>
        <w:rPr>
          <w:b/>
        </w:rPr>
        <w:t>AZ:</w:t>
      </w:r>
      <w:r>
        <w:t xml:space="preserve"> MR-2026-1118</w:t>
      </w:r>
    </w:p>
    <w:p>
      <w:pPr>
        <w:jc w:val="left"/>
      </w:pPr>
      <w:r>
        <w:rPr>
          <w:b/>
        </w:rPr>
        <w:t>Klausel:</w:t>
      </w:r>
      <w:r>
        <w:t xml:space="preserve"> Residual Information</w:t>
      </w:r>
    </w:p>
    <w:p>
      <w:pPr>
        <w:jc w:val="left"/>
      </w:pPr>
      <w:r>
        <w:rPr>
          <w:b/>
        </w:rPr>
        <w:t>Ergebnis:</w:t>
      </w:r>
      <w:r>
        <w:t xml:space="preserve"> Gestrichen in NDA v7</w:t>
      </w:r>
    </w:p>
    <w:p>
      <w:pPr>
        <w:jc w:val="left"/>
      </w:pPr>
      <w:r>
        <w:rPr>
          <w:b/>
        </w:rPr>
        <w:t>Rechtsgrundlagen:</w:t>
      </w:r>
      <w:r>
        <w:t xml:space="preserve"> GeschGehG §§ 2, 3; § 307 BGB; UWG § 17 a.F.</w:t>
      </w:r>
    </w:p>
    <w:p/>
    <w:p>
      <w:pPr>
        <w:pStyle w:val="Heading2"/>
      </w:pPr>
      <w:r>
        <w:rPr>
          <w:rFonts w:ascii="Times New Roman" w:hAnsi="Times New Roman"/>
        </w:rPr>
        <w:t>Eickmann-Fassung v1</w:t>
      </w:r>
    </w:p>
    <w:p>
      <w:pPr>
        <w:ind w:left="567"/>
      </w:pPr>
      <w:r>
        <w:rPr>
          <w:b/>
          <w:i/>
        </w:rPr>
        <w:t>Clause 5 — Residual Information</w:t>
      </w:r>
    </w:p>
    <w:p>
      <w:pPr>
        <w:ind w:left="567"/>
      </w:pPr>
      <w:r>
        <w:rPr>
          <w:i/>
        </w:rPr>
        <w:t>"Notwithstanding any other provision of this Agreement, either Party (the 'Recipient') may use Residual Information for any purpose. 'Residual Information' means information in non-tangible form that may be retained in the unaided memory of Recipient's Representatives who have had access to Confidential Information, including ideas, concepts, know-how, or techniques contained therein. The Recipient shall have no obligation to limit or restrict the assignment of such Representatives or to pay royalties for any use of Residual Information."</w:t>
      </w:r>
    </w:p>
    <w:p/>
    <w:p>
      <w:pPr>
        <w:pStyle w:val="Heading2"/>
      </w:pPr>
      <w:r>
        <w:rPr>
          <w:rFonts w:ascii="Times New Roman" w:hAnsi="Times New Roman"/>
        </w:rPr>
        <w:t>Risikoanalyse</w:t>
      </w:r>
    </w:p>
    <w:p>
      <w:pPr>
        <w:jc w:val="left"/>
      </w:pPr>
      <w:r>
        <w:t>Die Residual-Information-Klausel in der Eickmann-Fassung ist eine in US-amerikanischen NDA-Templates häufig anzutreffende Klausel (oft „memory exception" genannt). In ihrer weitestgehenden Form erlaubt sie Mitarbeitern der Empfangenden Partei, alle im menschlichen Gedächtnis behaltenen Informationen — einschließlich technischer Konstruktionsprinzipien, Produktionsmethoden und Geschäftsgeheimnisse — für beliebige Zwecke zu verwenden.</w:t>
      </w:r>
    </w:p>
    <w:p>
      <w:pPr>
        <w:jc w:val="left"/>
      </w:pPr>
      <w:r>
        <w:rPr>
          <w:b/>
        </w:rPr>
        <w:t>Für Windsysteme bedeutet dies konkret:</w:t>
      </w:r>
    </w:p>
    <w:p>
      <w:pPr>
        <w:pStyle w:val="ListBullet"/>
      </w:pPr>
      <w:r>
        <w:t>Eickmann-Ingenieure, die Zugang zu CAD-Daten und technischen Spezifikationen der WN-7000-Getriebeserie erhalten, können nach Ablauf des NDA sämtliche erinnerten Konstruktionsprinzipien für eigene Produktentwicklungen nutzen.</w:t>
      </w:r>
    </w:p>
    <w:p>
      <w:pPr>
        <w:pStyle w:val="ListBullet"/>
      </w:pPr>
      <w:r>
        <w:t>Eickmann könnte gezielt Ingenieure zur Due-Diligence entsenden, deren Gedächtnisleistung als systematisches Know-how-Transfer-Instrument dient.</w:t>
      </w:r>
    </w:p>
    <w:p/>
    <w:p>
      <w:pPr>
        <w:pStyle w:val="Heading2"/>
      </w:pPr>
      <w:r>
        <w:rPr>
          <w:rFonts w:ascii="Times New Roman" w:hAnsi="Times New Roman"/>
        </w:rPr>
        <w:t>GeschGehG-Analyse</w:t>
      </w:r>
    </w:p>
    <w:p>
      <w:pPr>
        <w:jc w:val="left"/>
      </w:pPr>
      <w:r>
        <w:t>Nach § 2 Nr. 1 GeschGehG ist ein Geschäftsgeheimnis eine Information, die (a) geheim ist, (b) kommerziellen Wert hat und (c) Gegenstand „angemessener Geheimhaltungsmaßnahmen" ist.</w:t>
      </w:r>
    </w:p>
    <w:p>
      <w:pPr>
        <w:jc w:val="left"/>
      </w:pPr>
      <w:r>
        <w:t>Eine NDA, die eine Residual-Information-Klausel enthält, gefährdet Tatbestandsmerkmal (c): Das Unternehmen trifft keine angemessenen Maßnahmen, wenn es vertraglich zulässt, dass Kernwissen „im Gedächtnis" ungeschützt weiterverwendet werden darf.</w:t>
      </w:r>
    </w:p>
    <w:p>
      <w:pPr>
        <w:jc w:val="left"/>
      </w:pPr>
      <w:r>
        <w:rPr>
          <w:b/>
        </w:rPr>
        <w:t>BGH-nahe Argumentation:</w:t>
      </w:r>
      <w:r>
        <w:t xml:space="preserve"> Zwar hat der BGH die Residual-Klausel in deutschen NDAs noch nicht explizit behandelt; nach dem Schutzzweck des GeschGehG (Umsetzung RL (EU) 2016/943) ist jedoch die Weitergabe systematisch erlernter technischer Verfahren als Geheimnisverrat qualifizierbar, selbst wenn sie „im Gedächtnis" behalten wurden (vgl. EuGH-Rspr. zu Art. 2 RL 2016/943).</w:t>
      </w:r>
    </w:p>
    <w:p/>
    <w:p>
      <w:pPr>
        <w:pStyle w:val="Heading2"/>
      </w:pPr>
      <w:r>
        <w:rPr>
          <w:rFonts w:ascii="Times New Roman" w:hAnsi="Times New Roman"/>
        </w:rPr>
        <w:t>Verhandlungsverlauf</w:t>
      </w:r>
    </w:p>
    <w:p>
      <w:pPr>
        <w:jc w:val="left"/>
      </w:pPr>
      <w:r>
        <w:t>Eickmanns Berater David Asante begründete die Klausel damit, dass Eickmann nicht in der Lage sei, Mitarbeitern das Vergessen von Informationen zu befehlen, und eine strafrechtliche Haftung für „unbewusstes Erinnern" unverhältnismäßig sei.</w:t>
      </w:r>
    </w:p>
    <w:p>
      <w:pPr>
        <w:jc w:val="left"/>
      </w:pPr>
      <w:r>
        <w:t>RA Dr. Roosendaal verwies darauf, dass die Klausel in ihrer vorliegenden Form weit über den Schutz vor unbewusstem Erinnern hinausgeht und das systematische Einprägen von Konstruktionsprinzipien (durch gezielte Entsendung qualifizierter Ingenieure) ermöglicht.</w:t>
      </w:r>
    </w:p>
    <w:p>
      <w:pPr>
        <w:jc w:val="left"/>
      </w:pPr>
      <w:r>
        <w:rPr>
          <w:b/>
        </w:rPr>
        <w:t>Ergebnis der Verhandlung:</w:t>
      </w:r>
      <w:r>
        <w:t xml:space="preserve"> Eickmann akzeptierte die vollständige Streichung der Residual-Information-Klausel. Als Gegenleistung erhielt Eickmann eine Reduzierung des Umfangs der Rückgabepflicht bezüglich Backup-Systemen (vgl. Aktenstück 07).</w:t>
      </w:r>
    </w:p>
    <w:p/>
    <w:p>
      <w:pPr>
        <w:pStyle w:val="Heading2"/>
      </w:pPr>
      <w:r>
        <w:rPr>
          <w:rFonts w:ascii="Times New Roman" w:hAnsi="Times New Roman"/>
        </w:rPr>
        <w:t>Ergebnis NDA v7</w:t>
      </w:r>
    </w:p>
    <w:p>
      <w:pPr>
        <w:jc w:val="left"/>
      </w:pPr>
      <w:r>
        <w:t xml:space="preserve">Residual-Information-Klausel: </w:t>
      </w:r>
      <w:r>
        <w:rPr>
          <w:b/>
        </w:rPr>
        <w:t>vollständig gestrichen</w:t>
      </w:r>
      <w:r>
        <w:t>.</w:t>
      </w:r>
    </w:p>
    <w:p>
      <w:pPr>
        <w:jc w:val="left"/>
      </w:pPr>
      <w:r>
        <w:t>NDA v7 enthält keine Residual-Ausnahme. Alle im Rahmen der Due-Diligence und JV-Zusammenarbeit erlernten Informationen unterliegen den NDA-Pflichten, unabhängig von ihrer Form.</w:t>
      </w:r>
    </w:p>
    <w:p/>
    <w:p>
      <w:pPr>
        <w:pStyle w:val="Heading2"/>
      </w:pPr>
      <w:r>
        <w:rPr>
          <w:rFonts w:ascii="Times New Roman" w:hAnsi="Times New Roman"/>
        </w:rPr>
        <w:t>Bedeutung für die Praxis</w:t>
      </w:r>
    </w:p>
    <w:p>
      <w:pPr>
        <w:jc w:val="left"/>
      </w:pPr>
      <w:r>
        <w:t>Die Streichung der Residual-Klausel ist für Windsysteme das wichtigste einzelne Verhandlungsergebnis. Ohne diese Streichung wäre der NDA faktisch wirkungslos für den Schutz nicht patentierbarer Fertigungsverfahren (Rotornaben-Beschichtungstechnologie, Getriebe-Abstimmungsverfahren).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