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13 — Klauselabgleich: Mitarbeiter-Abwerbeklausel</w:t>
      </w:r>
    </w:p>
    <w:p>
      <w:pPr>
        <w:jc w:val="left"/>
      </w:pPr>
      <w:r>
        <w:rPr>
          <w:b/>
        </w:rPr>
        <w:t>AZ:</w:t>
      </w:r>
      <w:r>
        <w:t xml:space="preserve"> MR-2026-1118</w:t>
      </w:r>
    </w:p>
    <w:p>
      <w:pPr>
        <w:jc w:val="left"/>
      </w:pPr>
      <w:r>
        <w:rPr>
          <w:b/>
        </w:rPr>
        <w:t>Klausel:</w:t>
      </w:r>
      <w:r>
        <w:t xml:space="preserve"> Non-Solicitation / Abwerbeverbot</w:t>
      </w:r>
    </w:p>
    <w:p>
      <w:pPr>
        <w:jc w:val="left"/>
      </w:pPr>
      <w:r>
        <w:rPr>
          <w:b/>
        </w:rPr>
        <w:t>Stand nach Verhandlung:</w:t>
      </w:r>
      <w:r>
        <w:t xml:space="preserve"> NDA v7, § 12</w:t>
      </w:r>
    </w:p>
    <w:p/>
    <w:p>
      <w:pPr>
        <w:pStyle w:val="Heading2"/>
      </w:pPr>
      <w:r>
        <w:rPr>
          <w:rFonts w:ascii="Times New Roman" w:hAnsi="Times New Roman"/>
        </w:rPr>
        <w:t>Eickmann-Fassung v1</w:t>
      </w:r>
    </w:p>
    <w:p>
      <w:pPr>
        <w:ind w:left="567"/>
      </w:pPr>
      <w:r>
        <w:rPr>
          <w:i/>
        </w:rPr>
        <w:t>Während der Laufzeit und für 3 Jahre danach: kein direktes oder indirektes Abwerben von Mitarbeitern oder Auftragnehmern, die am Vertragszweck beteiligt waren. Vertragsstrafe: EUR 250.000 je Verstoß (kombiniert mit der allgemeinen Vertragsstrafe).</w:t>
      </w:r>
    </w:p>
    <w:p/>
    <w:p>
      <w:pPr>
        <w:pStyle w:val="Heading2"/>
      </w:pPr>
      <w:r>
        <w:rPr>
          <w:rFonts w:ascii="Times New Roman" w:hAnsi="Times New Roman"/>
        </w:rPr>
        <w:t>Windsysteme-Analyse</w:t>
      </w:r>
    </w:p>
    <w:p>
      <w:pPr>
        <w:jc w:val="left"/>
      </w:pPr>
      <w:r>
        <w:rPr>
          <w:b/>
        </w:rPr>
        <w:t>Reichweite:</w:t>
      </w:r>
      <w:r>
        <w:t xml:space="preserve"> „Involved in activities related to the Purpose" — bei Windsysteme potenziell 400–600 Mitarbeiter aus Produktion, F&amp;E, IT, Vertrieb Asien.</w:t>
      </w:r>
    </w:p>
    <w:p>
      <w:pPr>
        <w:jc w:val="left"/>
      </w:pPr>
      <w:r>
        <w:rPr>
          <w:b/>
        </w:rPr>
        <w:t>Vertragsstrafe:</w:t>
      </w:r>
      <w:r>
        <w:t xml:space="preserve"> EUR 250.000 je Abwerbung ist für B2B-Non-Solicitation-Klauseln außergewöhnlich hoch; branchenüblich sind EUR 50.000–100.000.</w:t>
      </w:r>
    </w:p>
    <w:p>
      <w:pPr>
        <w:jc w:val="left"/>
      </w:pPr>
      <w:r>
        <w:rPr>
          <w:b/>
        </w:rPr>
        <w:t>Windsysteme-Gegenposition:</w:t>
      </w:r>
    </w:p>
    <w:p>
      <w:pPr>
        <w:pStyle w:val="ListBullet"/>
      </w:pPr>
      <w:r>
        <w:t>Reichweite: Nur Mitarbeiter in Schlüsselpositionen (leitende Angestellte, F&amp;E-Ingenieure mit direktem Projektkontakt), definiert in einem beigehefteten Annex.</w:t>
      </w:r>
    </w:p>
    <w:p>
      <w:pPr>
        <w:pStyle w:val="ListBullet"/>
      </w:pPr>
      <w:r>
        <w:t>Nachbeschäftigungszeit: 2 Jahre (nicht 3).</w:t>
      </w:r>
    </w:p>
    <w:p>
      <w:pPr>
        <w:pStyle w:val="ListBullet"/>
      </w:pPr>
      <w:r>
        <w:t>Vertragsstrafe: EUR 75.000 je Verstoß.</w:t>
      </w:r>
    </w:p>
    <w:p>
      <w:pPr>
        <w:pStyle w:val="ListBullet"/>
      </w:pPr>
      <w:r>
        <w:t>Ausnahme: Bewerbungen aus eigener Initiative des Mitarbeiters (sog. „passive recruitment").</w:t>
      </w:r>
    </w:p>
    <w:p/>
    <w:p>
      <w:pPr>
        <w:pStyle w:val="Heading2"/>
      </w:pPr>
      <w:r>
        <w:rPr>
          <w:rFonts w:ascii="Times New Roman" w:hAnsi="Times New Roman"/>
        </w:rPr>
        <w:t>Verhandlungsverlauf</w:t>
      </w:r>
    </w:p>
    <w:p>
      <w:pPr>
        <w:jc w:val="left"/>
      </w:pPr>
      <w:r>
        <w:t>Strittiger Punkt: Definition des abgedeckten Personenkreises. Eickmann wollte alle Mitarbeiter mit NDA-Zugang einschließen; Windsysteme bestand auf einer abgrenzbaren Schlüsselpositionsliste (Annex A zum NDA).</w:t>
      </w:r>
    </w:p>
    <w:p>
      <w:pPr>
        <w:jc w:val="left"/>
      </w:pPr>
      <w:r>
        <w:t>Einigung:</w:t>
      </w:r>
    </w:p>
    <w:p>
      <w:pPr>
        <w:pStyle w:val="ListBullet"/>
      </w:pPr>
      <w:r>
        <w:t>Personenkreis: Mitarbeiter der Positionen Ebene 1 (Vorstand/GF), Ebene 2 (Abteilungsleiter), Ebene 3 (Projektleiter, leitende Ingenieure mit direktem Due-Diligence-Beitrag) — gelistet in Annex A.</w:t>
      </w:r>
    </w:p>
    <w:p>
      <w:pPr>
        <w:pStyle w:val="ListBullet"/>
      </w:pPr>
      <w:r>
        <w:t>Nachbeschäftigungszeit: 2 Jahre nach Vertragsablauf.</w:t>
      </w:r>
    </w:p>
    <w:p>
      <w:pPr>
        <w:pStyle w:val="ListBullet"/>
      </w:pPr>
      <w:r>
        <w:t>Vertragsstrafe: EUR 100.000 je Abwerbung; Jahresdeckel EUR 400.000.</w:t>
      </w:r>
    </w:p>
    <w:p>
      <w:pPr>
        <w:pStyle w:val="ListBullet"/>
      </w:pPr>
      <w:r>
        <w:t>Passive recruitment-Ausnahme: Eigeninitiative des Mitarbeiters schließt Vertragsstrafe aus, wenn keine Kontaktaufnahme durch die Partei nachweisbar.</w:t>
      </w:r>
    </w:p>
    <w:p/>
    <w:p>
      <w:pPr>
        <w:pStyle w:val="Heading2"/>
      </w:pPr>
      <w:r>
        <w:rPr>
          <w:rFonts w:ascii="Times New Roman" w:hAnsi="Times New Roman"/>
        </w:rPr>
        <w:t>Finale Fassung (NDA v7, § 12)</w:t>
      </w:r>
    </w:p>
    <w:p>
      <w:pPr>
        <w:ind w:left="567"/>
      </w:pPr>
      <w:r>
        <w:rPr>
          <w:b/>
          <w:i/>
        </w:rPr>
        <w:t>§ 12 — Abwerbeverbot</w:t>
      </w:r>
    </w:p>
    <w:p>
      <w:pPr>
        <w:ind w:left="567"/>
      </w:pPr>
    </w:p>
    <w:p>
      <w:pPr>
        <w:ind w:left="567"/>
      </w:pPr>
      <w:r>
        <w:rPr>
          <w:i/>
        </w:rPr>
        <w:t>(1) Während der Laufzeit dieses Vertrags und für einen Zeitraum von zwei (2) Jahren nach deren Ablauf werden beide Parteien weder direkt noch indirekt Mitarbeiter oder leitende Angestellte der anderen Partei, die in Annex A dieses Vertrags aufgeführt sind oder die einen direkten Beitrag zu den Aktivitäten im Rahmen des Vertragszwecks geleistet haben, zur Aufnahme einer Beschäftigung oder zur Aufnahme einer Beratungstätigkeit ansprechen oder anwerben.</w:t>
      </w:r>
    </w:p>
    <w:p>
      <w:pPr>
        <w:ind w:left="567"/>
      </w:pPr>
    </w:p>
    <w:p>
      <w:pPr>
        <w:ind w:left="567"/>
      </w:pPr>
      <w:r>
        <w:rPr>
          <w:i/>
        </w:rPr>
        <w:t>(2) Das Verbot gilt nicht für:</w:t>
      </w:r>
    </w:p>
    <w:p>
      <w:pPr>
        <w:ind w:left="567"/>
      </w:pPr>
      <w:r>
        <w:rPr>
          <w:i/>
        </w:rPr>
        <w:t>a) Stellenausschreibungen in allgemeinen Medien, wenn diese nicht gezielt an Mitarbeiter der anderen Partei gerichtet sind;</w:t>
      </w:r>
    </w:p>
    <w:p>
      <w:pPr>
        <w:ind w:left="567"/>
      </w:pPr>
      <w:r>
        <w:rPr>
          <w:i/>
        </w:rPr>
        <w:t>b) die eigeninitiative Kontaktaufnahme durch den Mitarbeiter ohne vorherige Ansprache durch die empfangende Partei.</w:t>
      </w:r>
    </w:p>
    <w:p>
      <w:pPr>
        <w:ind w:left="567"/>
      </w:pPr>
    </w:p>
    <w:p>
      <w:pPr>
        <w:ind w:left="567"/>
      </w:pPr>
      <w:r>
        <w:rPr>
          <w:i/>
        </w:rPr>
        <w:t>(3) Bei einem Verstoß gegen dieses Verbot ist eine Vertragsstrafe von 100.000 EUR (in Worten: einhunderttausend Euro) je Verstoß zu zahlen. Die Summe aller im Rahmen dieses Paragraphen verwirkten Vertragsstrafen ist auf 400.000 EUR pro Kalenderjahr begrenzt.</w:t>
      </w:r>
    </w:p>
    <w:p/>
    <w:p>
      <w:pPr>
        <w:pStyle w:val="Heading2"/>
      </w:pPr>
      <w:r>
        <w:rPr>
          <w:rFonts w:ascii="Times New Roman" w:hAnsi="Times New Roman"/>
        </w:rPr>
        <w:t>Rechtliche Einordnung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Aspekt</w:t>
            </w:r>
          </w:p>
        </w:tc>
        <w:tc>
          <w:tcPr>
            <w:tcW w:type="dxa" w:w="4536"/>
          </w:tcPr>
          <w:p>
            <w:r>
              <w:rPr>
                <w:rFonts w:ascii="Times New Roman" w:hAnsi="Times New Roman"/>
                <w:b/>
                <w:sz w:val="20"/>
              </w:rPr>
              <w:t>Bewertung</w:t>
            </w:r>
          </w:p>
        </w:tc>
      </w:tr>
      <w:tr>
        <w:tc>
          <w:tcPr>
            <w:tcW w:type="dxa" w:w="4536"/>
          </w:tcPr>
          <w:p>
            <w:r>
              <w:rPr>
                <w:rFonts w:ascii="Times New Roman" w:hAnsi="Times New Roman"/>
                <w:sz w:val="20"/>
              </w:rPr>
              <w:t>§ 307 BGB</w:t>
            </w:r>
          </w:p>
        </w:tc>
        <w:tc>
          <w:tcPr>
            <w:tcW w:type="dxa" w:w="4536"/>
          </w:tcPr>
          <w:p>
            <w:r>
              <w:rPr>
                <w:rFonts w:ascii="Times New Roman" w:hAnsi="Times New Roman"/>
                <w:sz w:val="20"/>
              </w:rPr>
              <w:t>Abgegrenzter Personenkreis (Annex A): transparent, angemessen</w:t>
            </w:r>
          </w:p>
        </w:tc>
      </w:tr>
      <w:tr>
        <w:tc>
          <w:tcPr>
            <w:tcW w:type="dxa" w:w="4536"/>
          </w:tcPr>
          <w:p>
            <w:r>
              <w:rPr>
                <w:rFonts w:ascii="Times New Roman" w:hAnsi="Times New Roman"/>
                <w:sz w:val="20"/>
              </w:rPr>
              <w:t>Verhältnismäßigkeit</w:t>
            </w:r>
          </w:p>
        </w:tc>
        <w:tc>
          <w:tcPr>
            <w:tcW w:type="dxa" w:w="4536"/>
          </w:tcPr>
          <w:p>
            <w:r>
              <w:rPr>
                <w:rFonts w:ascii="Times New Roman" w:hAnsi="Times New Roman"/>
                <w:sz w:val="20"/>
              </w:rPr>
              <w:t>EUR 100.000 je Abwerbung: branchenüblich; angemessen</w:t>
            </w:r>
          </w:p>
        </w:tc>
      </w:tr>
      <w:tr>
        <w:tc>
          <w:tcPr>
            <w:tcW w:type="dxa" w:w="4536"/>
          </w:tcPr>
          <w:p>
            <w:r>
              <w:rPr>
                <w:rFonts w:ascii="Times New Roman" w:hAnsi="Times New Roman"/>
                <w:sz w:val="20"/>
              </w:rPr>
              <w:t>Passive recruitment-Ausnahme</w:t>
            </w:r>
          </w:p>
        </w:tc>
        <w:tc>
          <w:tcPr>
            <w:tcW w:type="dxa" w:w="4536"/>
          </w:tcPr>
          <w:p>
            <w:r>
              <w:rPr>
                <w:rFonts w:ascii="Times New Roman" w:hAnsi="Times New Roman"/>
                <w:sz w:val="20"/>
              </w:rPr>
              <w:t>Verhindert unverhältnismäßige Haftung für Mitarbeiter-Eigeninitiative</w:t>
            </w:r>
          </w:p>
        </w:tc>
      </w:tr>
    </w:tbl>
    <w:p>
      <w:pPr>
        <w:jc w:val="left"/>
      </w:pPr>
      <w:r>
        <w:rPr>
          <w:b/>
        </w:rPr>
        <w:t>Ergebnis:</w:t>
      </w:r>
      <w:r>
        <w:t xml:space="preserve"> Für Windsysteme akzeptabel; deutliche Verbesserung gegenüber Eickmann v1.</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