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14 — Klauselabgleich: Konzernweite Restrukturierungsklausel</w:t>
      </w:r>
    </w:p>
    <w:p>
      <w:pPr>
        <w:jc w:val="left"/>
      </w:pPr>
      <w:r>
        <w:rPr>
          <w:b/>
        </w:rPr>
        <w:t>AZ:</w:t>
      </w:r>
      <w:r>
        <w:t xml:space="preserve"> MR-2026-1118</w:t>
      </w:r>
    </w:p>
    <w:p>
      <w:pPr>
        <w:jc w:val="left"/>
      </w:pPr>
      <w:r>
        <w:rPr>
          <w:b/>
        </w:rPr>
        <w:t>Klausel:</w:t>
      </w:r>
      <w:r>
        <w:t xml:space="preserve"> Assignment / Konzernübertragung</w:t>
      </w:r>
    </w:p>
    <w:p>
      <w:pPr>
        <w:jc w:val="left"/>
      </w:pPr>
      <w:r>
        <w:rPr>
          <w:b/>
        </w:rPr>
        <w:t>Stand nach Verhandlung:</w:t>
      </w:r>
      <w:r>
        <w:t xml:space="preserve"> NDA v7, § 18</w:t>
      </w:r>
    </w:p>
    <w:p/>
    <w:p>
      <w:pPr>
        <w:pStyle w:val="Heading2"/>
      </w:pPr>
      <w:r>
        <w:rPr>
          <w:rFonts w:ascii="Times New Roman" w:hAnsi="Times New Roman"/>
        </w:rPr>
        <w:t>Eickmann-Fassung v1</w:t>
      </w:r>
    </w:p>
    <w:p>
      <w:pPr>
        <w:ind w:left="567"/>
      </w:pPr>
      <w:r>
        <w:rPr>
          <w:i/>
        </w:rPr>
        <w:t>Unbeschränkte Übertragbarkeit an Konzerngesellschaften und Nachfolgeentitäten bei Merger/Akquisition/Restrukturierung ohne Zustimmung.</w:t>
      </w:r>
    </w:p>
    <w:p/>
    <w:p>
      <w:pPr>
        <w:pStyle w:val="Heading2"/>
      </w:pPr>
      <w:r>
        <w:rPr>
          <w:rFonts w:ascii="Times New Roman" w:hAnsi="Times New Roman"/>
        </w:rPr>
        <w:t>Risikopotenzial für Windsysteme</w:t>
      </w:r>
    </w:p>
    <w:p>
      <w:pPr>
        <w:jc w:val="left"/>
      </w:pPr>
      <w:r>
        <w:t>Eickmanns Konzernstruktur umfasst nach eigenen Angaben:</w:t>
      </w:r>
    </w:p>
    <w:p>
      <w:pPr>
        <w:pStyle w:val="ListBullet"/>
      </w:pPr>
      <w:r>
        <w:t>Eickmann Wirtschaftspartner Pte. Ltd. (Holding, Singapur) — Vertragspartner.</w:t>
      </w:r>
    </w:p>
    <w:p>
      <w:pPr>
        <w:pStyle w:val="ListBullet"/>
      </w:pPr>
      <w:r>
        <w:t>Eickmann Energy Investments B.V. (Niederlande) — Zwischenholding.</w:t>
      </w:r>
    </w:p>
    <w:p>
      <w:pPr>
        <w:pStyle w:val="ListBullet"/>
      </w:pPr>
      <w:r>
        <w:t>Mehr Novin Energy Co. (Iran) — Beteiligung ca. 18 %.</w:t>
      </w:r>
    </w:p>
    <w:p>
      <w:pPr>
        <w:pStyle w:val="ListBullet"/>
      </w:pPr>
      <w:r>
        <w:t>Eickmann Trading DMCC (Dubai) — Handelsgesellschaft.</w:t>
      </w:r>
    </w:p>
    <w:p>
      <w:pPr>
        <w:jc w:val="left"/>
      </w:pPr>
      <w:r>
        <w:t>Ohne Zustimmungsvorbehalt könnten NDA-Rechte und die damit verbundenen Zugriffsrechte auf Windsysteme-Technologiedaten an Mehr Novin Energy Co. (Iran) abgetreten werden — ein direktes Exportkontroll- und Sanktionsrisiko.</w:t>
      </w:r>
    </w:p>
    <w:p/>
    <w:p>
      <w:pPr>
        <w:pStyle w:val="Heading2"/>
      </w:pPr>
      <w:r>
        <w:rPr>
          <w:rFonts w:ascii="Times New Roman" w:hAnsi="Times New Roman"/>
        </w:rPr>
        <w:t>Verhandlungsverlauf</w:t>
      </w:r>
    </w:p>
    <w:p>
      <w:pPr>
        <w:jc w:val="left"/>
      </w:pPr>
      <w:r>
        <w:t>Eickmann argumentierte, dass bei Konzernrestrukturierungen ein Zustimmungserfordernis die operative Flexibilität zu stark einschränke. RA Dr. Roosendaal konterte, dass Windsysteme jederzeit wissen müsse, wer Zugang zu ihren Technologiedaten hat — insbesondere angesichts der Iran-Beteiligung.</w:t>
      </w:r>
    </w:p>
    <w:p>
      <w:pPr>
        <w:jc w:val="left"/>
      </w:pPr>
      <w:r>
        <w:t>Kompromiss: „Whitelist"-Konzept. Eickmann legt bei Vertragsschluss eine Liste zulässiger Konzerngesellschaften vor (Annex B); Übertragungen innerhalb dieser Liste: ohne Zustimmung, aber mit Benachrichtigungspflicht. Übertragungen an andere Gesellschaften: Zustimmungserfordernis.</w:t>
      </w:r>
    </w:p>
    <w:p/>
    <w:p>
      <w:pPr>
        <w:pStyle w:val="Heading2"/>
      </w:pPr>
      <w:r>
        <w:rPr>
          <w:rFonts w:ascii="Times New Roman" w:hAnsi="Times New Roman"/>
        </w:rPr>
        <w:t>Finale Fassung (NDA v7, § 18)</w:t>
      </w:r>
    </w:p>
    <w:p>
      <w:pPr>
        <w:ind w:left="567"/>
      </w:pPr>
      <w:r>
        <w:rPr>
          <w:b/>
          <w:i/>
        </w:rPr>
        <w:t>§ 18 — Übertragungsverbot und Konzernübertragung</w:t>
      </w:r>
    </w:p>
    <w:p>
      <w:pPr>
        <w:ind w:left="567"/>
      </w:pPr>
    </w:p>
    <w:p>
      <w:pPr>
        <w:ind w:left="567"/>
      </w:pPr>
      <w:r>
        <w:rPr>
          <w:i/>
        </w:rPr>
        <w:t>(1) Die Rechte und Pflichten aus diesem Vertrag können von keiner Partei ohne vorherige schriftliche Einwilligung der anderen Partei auf Dritte übertragen werden. Die Einwilligung darf nicht unbillig verweigert werden.</w:t>
      </w:r>
    </w:p>
    <w:p>
      <w:pPr>
        <w:ind w:left="567"/>
      </w:pPr>
    </w:p>
    <w:p>
      <w:pPr>
        <w:ind w:left="567"/>
      </w:pPr>
      <w:r>
        <w:rPr>
          <w:i/>
        </w:rPr>
        <w:t>(2) Abweichend von Abs. 1 ist eine Übertragung der Rechte und Pflichten aus diesem Vertrag auf eine in Annex B namentlich aufgeführte Konzerngesellschaft der jeweiligen Partei ohne Zustimmung der anderen Partei zulässig, wenn:</w:t>
      </w:r>
    </w:p>
    <w:p>
      <w:pPr>
        <w:ind w:left="567"/>
      </w:pPr>
      <w:r>
        <w:rPr>
          <w:i/>
        </w:rPr>
        <w:t>a) die übernehmende Gesellschaft der anderen Partei binnen 10 Werktagen schriftlich benachrichtigt wird,</w:t>
      </w:r>
    </w:p>
    <w:p>
      <w:pPr>
        <w:ind w:left="567"/>
      </w:pPr>
      <w:r>
        <w:rPr>
          <w:i/>
        </w:rPr>
        <w:t>b) die übernehmende Gesellschaft alle Pflichten aus diesem Vertrag schriftlich gegenüber der anderen Partei übernimmt und</w:t>
      </w:r>
    </w:p>
    <w:p>
      <w:pPr>
        <w:ind w:left="567"/>
      </w:pPr>
      <w:r>
        <w:rPr>
          <w:i/>
        </w:rPr>
        <w:t>c) die übertragende Gesellschaft weiterhin als Bürge für die Einhaltung der NDA-Pflichten durch die übernehmende Gesellschaft haftet.</w:t>
      </w:r>
    </w:p>
    <w:p>
      <w:pPr>
        <w:ind w:left="567"/>
      </w:pPr>
    </w:p>
    <w:p>
      <w:pPr>
        <w:ind w:left="567"/>
      </w:pPr>
      <w:r>
        <w:rPr>
          <w:i/>
        </w:rPr>
        <w:t>(3) Eine Übertragung auf Gesellschaften, die nicht in Annex B aufgeführt sind, einschließlich Mehr Novin Energy Co. und vergleichbarer Gesellschaften in sanktionierten Rechtsräumen, bedarf stets der vorherigen schriftlichen Einwilligung von Windsysteme Norderhof AG.</w:t>
      </w:r>
    </w:p>
    <w:p>
      <w:pPr>
        <w:ind w:left="567"/>
      </w:pPr>
    </w:p>
    <w:p>
      <w:pPr>
        <w:ind w:left="567"/>
      </w:pPr>
      <w:r>
        <w:rPr>
          <w:i/>
        </w:rPr>
        <w:t>(4) Annex B ist bei jeder Restrukturierung des Konzernverbundes einer Partei zu aktualisieren; die andere Partei hat das Recht, neue Konzerngesellschaften, die ein erhöhtes Sanktionsrisiko darstellen, aus der Whitelist zu streichen.</w:t>
      </w:r>
    </w:p>
    <w:p/>
    <w:p>
      <w:pPr>
        <w:pStyle w:val="Heading2"/>
      </w:pPr>
      <w:r>
        <w:rPr>
          <w:rFonts w:ascii="Times New Roman" w:hAnsi="Times New Roman"/>
        </w:rPr>
        <w:t>Rechtliche Einordnung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Aspekt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Sanktionsrisiko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Expliziter Ausschluss Mehr Novin Energy Co. in Abs. 3: bestmöglicher Schutz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Flexibilität Eickmann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Whitelist-Konzept Annex B: operativ handhabbar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Bürgschaft übertragende Gesellschaft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Abs. 2(c): sichert Haftungskette</w:t>
            </w:r>
          </w:p>
        </w:tc>
      </w:tr>
    </w:tbl>
    <w:p>
      <w:pPr>
        <w:jc w:val="left"/>
      </w:pPr>
      <w:r>
        <w:rPr>
          <w:b/>
        </w:rPr>
        <w:t>Ergebnis:</w:t>
      </w:r>
      <w:r>
        <w:t xml:space="preserve"> Für Windsysteme stark verbesserte Fassung gegenüber Eickmann v1; Iran-Sanktionsrisiko adressiert.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