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15 — Streitstand: Gerichtsstand Singapur</w:t>
      </w:r>
    </w:p>
    <w:p>
      <w:pPr>
        <w:jc w:val="left"/>
      </w:pPr>
      <w:r>
        <w:rPr>
          <w:b/>
        </w:rPr>
        <w:t>AZ:</w:t>
      </w:r>
      <w:r>
        <w:t xml:space="preserve"> MR-2026-1118</w:t>
      </w:r>
    </w:p>
    <w:p>
      <w:pPr>
        <w:jc w:val="left"/>
      </w:pPr>
      <w:r>
        <w:rPr>
          <w:b/>
        </w:rPr>
        <w:t>Thema:</w:t>
      </w:r>
      <w:r>
        <w:t xml:space="preserve"> SIAC vs. DIS Hamburg — Detailanalyse der Verhandlungsposition</w:t>
      </w:r>
    </w:p>
    <w:p>
      <w:pPr>
        <w:jc w:val="left"/>
      </w:pPr>
      <w:r>
        <w:rPr>
          <w:b/>
        </w:rPr>
        <w:t>Rechtsgrundlagen:</w:t>
      </w:r>
      <w:r>
        <w:t xml:space="preserve"> SIAC Rules 2016; DIS-SchO 2018; NYÜ 1958; § 1025 ff. ZPO</w:t>
      </w:r>
    </w:p>
    <w:p/>
    <w:p>
      <w:pPr>
        <w:pStyle w:val="Heading2"/>
      </w:pPr>
      <w:r>
        <w:rPr>
          <w:rFonts w:ascii="Times New Roman" w:hAnsi="Times New Roman"/>
        </w:rPr>
        <w:t>Hintergrund</w:t>
      </w:r>
    </w:p>
    <w:p>
      <w:pPr>
        <w:jc w:val="left"/>
      </w:pPr>
      <w:r>
        <w:t>Eickmann Wirtschaftspartner Pte. Ltd. ist in Singapur ansässig und hat eine jahrelange Praxis, SIAC-Schiedsklauseln in allen Vertragswerken zu verwenden. Die SIAC (Singapore International Arbitration Centre) ist eines der renommiertesten Schiedsinstitute weltweit und besonders für Asien-Pazifik-Transaktionen etabliert.</w:t>
      </w:r>
    </w:p>
    <w:p>
      <w:pPr>
        <w:jc w:val="left"/>
      </w:pPr>
      <w:r>
        <w:t>Windsysteme Norderhof AG hingegen ist in Deutschland ansässig und hat keine Erfahrung mit Singapurer Schiedsverfahren. Dr. Eichenmuller (CFO) verwies darauf, dass Singapurer Anwaltskosten für ein 3-Schiedsrichter-Verfahren bei der Reisekostenkomponente und Honorarunterschieden 3–5× teurer als ein DIS-Verfahren in Hamburg sein könnten.</w:t>
      </w:r>
    </w:p>
    <w:p/>
    <w:p>
      <w:pPr>
        <w:pStyle w:val="Heading2"/>
      </w:pPr>
      <w:r>
        <w:rPr>
          <w:rFonts w:ascii="Times New Roman" w:hAnsi="Times New Roman"/>
        </w:rPr>
        <w:t>SIAC Rules 2016 — Relevante Aspekte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Merkmal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SIAC Rules 2016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DIS-SchO 2018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Schiedsort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Singapur (standard)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Frei wählbar; Hamburg für diesen Fall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Sprache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Englisch (standard)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Deutsch (für diesen Fall vereinbart)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Emergency Arbitrator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Rule 30: Ja, innerhalb 1 Tag Bestellung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23.2: 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Konsolidierung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Rule 8: Ja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13: 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Kostenvorschuss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Registrierungsgebühr ab SGD 2.000 + % Streitwert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Registrierungsgebühr ab EUR 500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Vollstreckbarkeit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NYÜ: 170+ Staaten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NYÜ: 170+ Staaten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Vertraulichkeit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Rule 39: explizit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44: explizit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Strategische Analyse</w:t>
      </w:r>
    </w:p>
    <w:p>
      <w:pPr>
        <w:jc w:val="left"/>
      </w:pPr>
      <w:r>
        <w:rPr>
          <w:b/>
        </w:rPr>
        <w:t>Vorteile SIAC für Eickmann:</w:t>
      </w:r>
    </w:p>
    <w:p>
      <w:pPr>
        <w:pStyle w:val="ListBullet"/>
      </w:pPr>
      <w:r>
        <w:t>Vertrautes Regelwerk für Eickmanns asiatische Finanzierungspartner.</w:t>
      </w:r>
    </w:p>
    <w:p>
      <w:pPr>
        <w:pStyle w:val="ListBullet"/>
      </w:pPr>
      <w:r>
        <w:t>Singapurer Richter haben umfangreiche Erfahrung mit asiatischen Handelsstreitigkeiten.</w:t>
      </w:r>
    </w:p>
    <w:p>
      <w:pPr>
        <w:pStyle w:val="ListBullet"/>
      </w:pPr>
      <w:r>
        <w:t>Kürzere Verfahrensdauer bei asiatischer Partei (keine Reise-/Zeitzonendifferenz für Eickmann).</w:t>
      </w:r>
    </w:p>
    <w:p>
      <w:pPr>
        <w:jc w:val="left"/>
      </w:pPr>
      <w:r>
        <w:rPr>
          <w:b/>
        </w:rPr>
        <w:t>Nachteile SIAC für Windsysteme:</w:t>
      </w:r>
    </w:p>
    <w:p>
      <w:pPr>
        <w:pStyle w:val="ListBullet"/>
      </w:pPr>
      <w:r>
        <w:t>Deutlich höhere Kosten (Singapurer Anwälte erforderlich).</w:t>
      </w:r>
    </w:p>
    <w:p>
      <w:pPr>
        <w:pStyle w:val="ListBullet"/>
      </w:pPr>
      <w:r>
        <w:t>Deutsches Recht als Vertragsstatut würde möglicherweise falsch angewendet.</w:t>
      </w:r>
    </w:p>
    <w:p>
      <w:pPr>
        <w:pStyle w:val="ListBullet"/>
      </w:pPr>
      <w:r>
        <w:t>Einstweiliger Rechtsschutz nach deutschem Recht (§ 935 ZPO) nicht direkt erreichbar.</w:t>
      </w:r>
    </w:p>
    <w:p>
      <w:pPr>
        <w:pStyle w:val="ListBullet"/>
      </w:pPr>
      <w:r>
        <w:t>Zeitzonendifferenz Hamburg–Singapur: 7 Stunden.</w:t>
      </w:r>
    </w:p>
    <w:p/>
    <w:p>
      <w:pPr>
        <w:pStyle w:val="Heading2"/>
      </w:pPr>
      <w:r>
        <w:rPr>
          <w:rFonts w:ascii="Times New Roman" w:hAnsi="Times New Roman"/>
        </w:rPr>
        <w:t>Einigung (vgl. Aktenstück 10)</w:t>
      </w:r>
    </w:p>
    <w:p>
      <w:pPr>
        <w:jc w:val="left"/>
      </w:pPr>
      <w:r>
        <w:t>Eickmann akzeptierte DIS Hamburg gegen folgende Zugeständnisse von Windsysteme:</w:t>
      </w:r>
    </w:p>
    <w:p>
      <w:pPr>
        <w:pStyle w:val="ListBullet"/>
      </w:pPr>
      <w:r>
        <w:t>Laufzeit bis zu 7 Jahre (mit Bedingungen, vgl. Aktenstück 09).</w:t>
      </w:r>
    </w:p>
    <w:p>
      <w:pPr>
        <w:pStyle w:val="ListBullet"/>
      </w:pPr>
      <w:r>
        <w:t>Mitarbeiter-Abwerbestrafe leicht erhöht (100.000 EUR statt 75.000 EUR Windsysteme-Initialposition).</w:t>
      </w:r>
    </w:p>
    <w:p>
      <w:pPr>
        <w:jc w:val="left"/>
      </w:pPr>
      <w:r>
        <w:t>Eickmanns internes Memo (informell von David Asante kommuniziert): Eickmanns Banken in Singapur akzeptieren auch DIS-Schiedsklauseln, wenn deutsches Recht und Singapurer NYÜ-Vollstreckbarkeit gegeben sind.</w:t>
      </w:r>
    </w:p>
    <w:p/>
    <w:p>
      <w:pPr>
        <w:pStyle w:val="Heading2"/>
      </w:pPr>
      <w:r>
        <w:rPr>
          <w:rFonts w:ascii="Times New Roman" w:hAnsi="Times New Roman"/>
        </w:rPr>
        <w:t>Vollstreckung in Singapur</w:t>
      </w:r>
    </w:p>
    <w:p>
      <w:pPr>
        <w:jc w:val="left"/>
      </w:pPr>
      <w:r>
        <w:t>Ein DIS-Schiedsspruch aus Hamburg ist in Singapur vollstreckbar nach dem International Arbitration Act (IAA, Singapore), der das NYÜ umsetzt. Voraussetzungen:</w:t>
      </w:r>
    </w:p>
    <w:p>
      <w:pPr>
        <w:pStyle w:val="ListBullet"/>
      </w:pPr>
      <w:r>
        <w:t>Der Schiedsspruch muss aus einem NYÜ-Mitgliedstaat stammen (Deutschland: ja).</w:t>
      </w:r>
    </w:p>
    <w:p>
      <w:pPr>
        <w:pStyle w:val="ListBullet"/>
      </w:pPr>
      <w:r>
        <w:t>Kein Ordre-public-Verstoß nach singaporischem Recht.</w:t>
      </w:r>
    </w:p>
    <w:p>
      <w:pPr>
        <w:pStyle w:val="ListBullet"/>
      </w:pPr>
      <w:r>
        <w:t>Keine Aufhebungsklage vor deutschen Gerichten anhängig.</w:t>
      </w:r>
    </w:p>
    <w:p>
      <w:pPr>
        <w:jc w:val="left"/>
      </w:pPr>
      <w:r>
        <w:t>Praktisch: Eine DIS-Vollstreckung in Singapur ist unkompliziert, da Singapur eine proarbitration-Jurisdiktion ist.</w:t>
      </w:r>
    </w:p>
    <w:p/>
    <w:p>
      <w:pPr>
        <w:pStyle w:val="Heading2"/>
      </w:pPr>
      <w:r>
        <w:rPr>
          <w:rFonts w:ascii="Times New Roman" w:hAnsi="Times New Roman"/>
        </w:rPr>
        <w:t>Ergebnis</w:t>
      </w:r>
    </w:p>
    <w:p>
      <w:pPr>
        <w:jc w:val="left"/>
      </w:pPr>
      <w:r>
        <w:t xml:space="preserve">DIS Hamburg, deutsches Recht — </w:t>
      </w:r>
      <w:r>
        <w:rPr>
          <w:b/>
        </w:rPr>
        <w:t>vollständig durchgesetzt</w:t>
      </w:r>
      <w:r>
        <w:t xml:space="preserve"> für Windsysteme. Eickmann-Konzession war das wesentlichste prozedurale Zugeständnis im gesamten Verhandlungsprozess.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