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— Marker-Tabelle: Kritische Klauselrisiken im Überblick</w:t>
      </w:r>
    </w:p>
    <w:p>
      <w:pPr>
        <w:jc w:val="left"/>
      </w:pPr>
      <w:r>
        <w:rPr>
          <w:b/>
        </w:rPr>
        <w:t>AZ:</w:t>
      </w:r>
      <w:r>
        <w:t xml:space="preserve"> MR-2026-1118</w:t>
      </w:r>
    </w:p>
    <w:p>
      <w:pPr>
        <w:jc w:val="left"/>
      </w:pPr>
      <w:r>
        <w:rPr>
          <w:b/>
        </w:rPr>
        <w:t>Zweck:</w:t>
      </w:r>
      <w:r>
        <w:t xml:space="preserve"> Schnellübersicht aller kritischen Risikomarker aus dem NDA-Abgleich</w:t>
      </w:r>
    </w:p>
    <w:p>
      <w:pPr>
        <w:jc w:val="left"/>
      </w:pPr>
      <w:r>
        <w:rPr>
          <w:b/>
        </w:rPr>
        <w:t>Stand:</w:t>
      </w:r>
      <w:r>
        <w:t xml:space="preserve"> Nach Abschluss Verhandlung, NDA v7</w:t>
      </w:r>
    </w:p>
    <w:p/>
    <w:p>
      <w:pPr>
        <w:pStyle w:val="Heading2"/>
      </w:pPr>
      <w:r>
        <w:rPr>
          <w:rFonts w:ascii="Times New Roman" w:hAnsi="Times New Roman"/>
        </w:rPr>
        <w:t>Marker-Tabelle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Klauselbereich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Eickmann v1 Risiko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Risikostufe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Windsysteme-Position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Einigung NDA v7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Vertraulichkeitsdefinition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Keine Ausnahmen; extrem weit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Ausnahmetatbestände (a)-(d)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Ausnahmen + Kennzeichnungspflicht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Gelöst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Residual-Information-Klausel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Vollständige Aushöhlung GeschGehG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Vollständige Streichung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Gestrichen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Gelöst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Verwendungszweck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„Ergänzende Dienstleistungen" zu weit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Strikte Zweckbindung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Enger Zweck + Need-to-know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Gelöst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Rückgabe/Vernichtung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Backup-Ausnahme zu weit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Aktive Löschpflicht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90-Tage-Backup-Kompromiss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Gelöst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Vertragsstrafe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250.000 EUR je Verstoß, keine Obergrenze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75.000 EUR, Jahresdeckel 300K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Staffelung 50K/120K, Jahresdeckel 480K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Gelöst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Laufzeit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 Jahre ohne Bedingung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 Jahre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3+2+2 Jahre (gestuft, Bedingungen)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Gelöst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Exportkontrolle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Fehlend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Iran-Klausel, BAFA-Bedingung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§ 11 NDA v7 vollständig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Gelöst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Gerichtsstand/Recht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SIAC, Singapur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DIS Hamburg, dt. Recht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DIS Hamburg, dt. Recht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Gelöst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Mitarbeiter-Abwerbung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250.000 EUR, zu weiter Kreis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75.000 EUR, Schlüsselpositionen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100.000 EUR, Annex A, 2 Jahre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Gelöst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Konzernübertragung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Frei übertragbar (inkl. Iran)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Zustimmungsvorbehalt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Whitelist Annex B, Iran explizit ausgeschlossen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Gelöst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GeschGehG-Konformität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Keine Maßnahmen-Verpflichtung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Maßnahmenpaket Annex C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Annex C Mindeststandard für beide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Gelöst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Cybertrading-Risiko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Nicht adressiert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Warnhinweis intern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IT-Security-Bericht angefordert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Legende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Symbol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Bedeutung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Sofortige Handlungspflicht; NDA ohne Änderung nicht unterzeichnen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Erhebliches Verhandlungserfordernis; substanzielle Verbesserung nötig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Verbesserungswürdig; bei Übernahme vertretbar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Nachrangig; kann beobachtet werden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Gesamtbewertung nach Verhandlung</w:t>
      </w:r>
    </w:p>
    <w:p>
      <w:pPr>
        <w:jc w:val="left"/>
      </w:pPr>
      <w:r>
        <w:t>Alle kritischen und hochprioritären Marker wurden in NDA v7 zufriedenstellend aufgelöst. Der einzige offene Punkt (Cybertrading-Risiko Nr. 12) betrifft keine NDA-Klausel, sondern eine interne Due-Diligence-Frage — das IT-Security-Gutachten zu Eickmanns Umfeld ist noch ausstehend.</w:t>
      </w:r>
    </w:p>
    <w:p>
      <w:pPr>
        <w:jc w:val="left"/>
      </w:pPr>
      <w:r>
        <w:rPr>
          <w:b/>
        </w:rPr>
        <w:t>Empfehlung RA Dr. Roosendaal:</w:t>
      </w:r>
      <w:r>
        <w:t xml:space="preserve"> NDA v7 kann von Windsysteme unterzeichnet werden. Das JV-Hauptvertragsverfahren sollte erst nach Vorliegen des IT-Security-Berichts und der positiven BAFA-Vorabauskunft fortgesetzt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