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Verhandlungsprotokoll Tag 1</w:t>
      </w:r>
    </w:p>
    <w:p>
      <w:pPr>
        <w:jc w:val="left"/>
      </w:pPr>
      <w:r>
        <w:rPr>
          <w:b/>
        </w:rPr>
        <w:t>AZ:</w:t>
      </w:r>
      <w:r>
        <w:t xml:space="preserve"> MR-2026-1118</w:t>
      </w:r>
    </w:p>
    <w:p>
      <w:pPr>
        <w:jc w:val="left"/>
      </w:pPr>
      <w:r>
        <w:rPr>
          <w:b/>
        </w:rPr>
        <w:t>Datum:</w:t>
      </w:r>
      <w:r>
        <w:t xml:space="preserve"> 17. Februar 2026</w:t>
      </w:r>
    </w:p>
    <w:p>
      <w:pPr>
        <w:jc w:val="left"/>
      </w:pPr>
      <w:r>
        <w:rPr>
          <w:b/>
        </w:rPr>
        <w:t>Ort:</w:t>
      </w:r>
      <w:r>
        <w:t xml:space="preserve"> SIAC Maxwell Chambers Suites, 28 Maxwell Road, Singapore 069120, Room 5B</w:t>
      </w:r>
    </w:p>
    <w:p>
      <w:pPr>
        <w:jc w:val="left"/>
      </w:pPr>
      <w:r>
        <w:rPr>
          <w:b/>
        </w:rPr>
        <w:t>Beginn:</w:t>
      </w:r>
      <w:r>
        <w:t xml:space="preserve"> 09:30 Uhr (SGT, entspricht 02:30 Uhr MEZ)</w:t>
      </w:r>
    </w:p>
    <w:p>
      <w:pPr>
        <w:jc w:val="left"/>
      </w:pPr>
      <w:r>
        <w:rPr>
          <w:b/>
        </w:rPr>
        <w:t>Ende:</w:t>
      </w:r>
      <w:r>
        <w:t xml:space="preserve"> 18:15 Uhr (SGT)</w:t>
      </w:r>
    </w:p>
    <w:p/>
    <w:p>
      <w:pPr>
        <w:pStyle w:val="Heading2"/>
      </w:pPr>
      <w:r>
        <w:rPr>
          <w:rFonts w:ascii="Times New Roman" w:hAnsi="Times New Roman"/>
        </w:rPr>
        <w:t>Anwesende</w:t>
      </w:r>
    </w:p>
    <w:p>
      <w:pPr>
        <w:jc w:val="left"/>
      </w:pPr>
      <w:r>
        <w:rPr>
          <w:b/>
        </w:rPr>
        <w:t>Windsysteme Norderhof AG:</w:t>
      </w:r>
    </w:p>
    <w:p>
      <w:pPr>
        <w:pStyle w:val="ListBullet"/>
      </w:pPr>
      <w:r>
        <w:t>Dr. Henning Norderhof (CEO)</w:t>
      </w:r>
    </w:p>
    <w:p>
      <w:pPr>
        <w:pStyle w:val="ListBullet"/>
      </w:pPr>
      <w:r>
        <w:t>Dr. Iva Tannenmoor (CTO, per Video ab 14:00 SGT)</w:t>
      </w:r>
    </w:p>
    <w:p>
      <w:pPr>
        <w:pStyle w:val="ListBullet"/>
      </w:pPr>
      <w:r>
        <w:t>Lena Wohlgemuth, LL.M. (Rechtsabteilung)</w:t>
      </w:r>
    </w:p>
    <w:p>
      <w:pPr>
        <w:pStyle w:val="ListBullet"/>
      </w:pPr>
      <w:r>
        <w:t>RA Dr. Mark Roosendaal (Kanzlei Schwingenstein und Partner)</w:t>
      </w:r>
    </w:p>
    <w:p>
      <w:pPr>
        <w:jc w:val="left"/>
      </w:pPr>
      <w:r>
        <w:rPr>
          <w:b/>
        </w:rPr>
        <w:t>Eickmann Wirtschaftspartner Pte. Ltd.:</w:t>
      </w:r>
    </w:p>
    <w:p>
      <w:pPr>
        <w:pStyle w:val="ListBullet"/>
      </w:pPr>
      <w:r>
        <w:t>Frederick Eickmann (Managing Director)</w:t>
      </w:r>
    </w:p>
    <w:p>
      <w:pPr>
        <w:pStyle w:val="ListBullet"/>
      </w:pPr>
      <w:r>
        <w:t>Tan Ser Kiat (COO)</w:t>
      </w:r>
    </w:p>
    <w:p>
      <w:pPr>
        <w:pStyle w:val="ListBullet"/>
      </w:pPr>
      <w:r>
        <w:t>David Asante (Partner, Harrington &amp; Weld LLP, per Video)</w:t>
      </w:r>
    </w:p>
    <w:p>
      <w:pPr>
        <w:pStyle w:val="ListBullet"/>
      </w:pPr>
      <w:r>
        <w:t>Priya Rajakumar (In-house Legal Counsel)</w:t>
      </w:r>
    </w:p>
    <w:p>
      <w:pPr>
        <w:jc w:val="left"/>
      </w:pPr>
      <w:r>
        <w:rPr>
          <w:b/>
        </w:rPr>
        <w:t>Protokoll:</w:t>
      </w:r>
      <w:r>
        <w:t xml:space="preserve"> Lena Wohlgemuth, LL.M.</w:t>
      </w:r>
    </w:p>
    <w:p/>
    <w:p>
      <w:pPr>
        <w:pStyle w:val="Heading2"/>
      </w:pPr>
      <w:r>
        <w:rPr>
          <w:rFonts w:ascii="Times New Roman" w:hAnsi="Times New Roman"/>
        </w:rPr>
        <w:t>09:30 — Eröffnung</w:t>
      </w:r>
    </w:p>
    <w:p>
      <w:pPr>
        <w:jc w:val="left"/>
      </w:pPr>
      <w:r>
        <w:t>Frederick Eickmann eröffnet die Verhandlungen mit einer Darstellung der strategischen Bedeutung des JV für Eickmanns Asien-Wachstumsstrategie. Dr. Norderhof betont Windsystemes Interesse, aber auch die Notwendigkeit belastbarer rechtlicher Rahmenbedingungen.</w:t>
      </w:r>
    </w:p>
    <w:p>
      <w:pPr>
        <w:jc w:val="left"/>
      </w:pPr>
      <w:r>
        <w:t>RA Dr. Roosendaal überreicht die schriftliche Abweichungsübersicht (RA-Dokument Nr. 2026-RD-007), die alle Unterschiede zwischen Eickmann v1 und Windsysteme v2 tabellarisch darstellt.</w:t>
      </w:r>
    </w:p>
    <w:p/>
    <w:p>
      <w:pPr>
        <w:pStyle w:val="Heading2"/>
      </w:pPr>
      <w:r>
        <w:rPr>
          <w:rFonts w:ascii="Times New Roman" w:hAnsi="Times New Roman"/>
        </w:rPr>
        <w:t>10:15 — Diskussion: Residual-Information-Klausel</w:t>
      </w:r>
    </w:p>
    <w:p>
      <w:pPr>
        <w:jc w:val="left"/>
      </w:pPr>
      <w:r>
        <w:t>RA Dr. Roosendaal eröffnet mit dem für Windsysteme wichtigsten Punkt: Die Residual-Information-Klausel (Clause 5 Eickmann v1) sei für Windsysteme nicht akzeptabel und GeschGehG-widrig.</w:t>
      </w:r>
    </w:p>
    <w:p>
      <w:pPr>
        <w:jc w:val="left"/>
      </w:pPr>
      <w:r>
        <w:t>David Asante (per Video): Die Klausel sei in US-amerikanischen Technologie-NDAs Standard; eine vollständige Streichung sei für Eickmann schwer zu vertreten, weil keine Partei das Vergessen von Informationen erzwingen könne.</w:t>
      </w:r>
    </w:p>
    <w:p>
      <w:pPr>
        <w:jc w:val="left"/>
      </w:pPr>
      <w:r>
        <w:t>RA Dr. Roosendaal: Die Klausel erlaubt nicht nur das „nicht vergessen können", sondern das aktive Nutzen der eingeprägten Informationen für beliebige Zwecke — das sei qualitativ etwas anderes.</w:t>
      </w:r>
    </w:p>
    <w:p>
      <w:pPr>
        <w:jc w:val="left"/>
      </w:pPr>
      <w:r>
        <w:rPr>
          <w:b/>
        </w:rPr>
        <w:t>Eickmann-Delegation berät intern (10 Minuten Pause). Ergebnis:</w:t>
      </w:r>
      <w:r>
        <w:t xml:space="preserve"> Eickmann signalisiert Verhandlungsbereitschaft bei vollständiger Streichung gegen Zugeständnis bei der Laufzeit.</w:t>
      </w:r>
    </w:p>
    <w:p/>
    <w:p>
      <w:pPr>
        <w:pStyle w:val="Heading2"/>
      </w:pPr>
      <w:r>
        <w:rPr>
          <w:rFonts w:ascii="Times New Roman" w:hAnsi="Times New Roman"/>
        </w:rPr>
        <w:t>11:30 — Diskussion: Laufzeit</w:t>
      </w:r>
    </w:p>
    <w:p>
      <w:pPr>
        <w:jc w:val="left"/>
      </w:pPr>
      <w:r>
        <w:t>Eickmann fordert 7 Jahre als Gegenleistung für Streichung Residual-Klausel. RA Dr. Roosendaal lehnt 7 Jahre pauschal ab, bietet gestufte Lösung (3+2+2) an.</w:t>
      </w:r>
    </w:p>
    <w:p>
      <w:pPr>
        <w:jc w:val="left"/>
      </w:pPr>
      <w:r>
        <w:t>Frederick Eickmann: Die Entwicklungszeit für Offshore-Windparks in Vietnam und Malaysia betrage im Schnitt 6–8 Jahre; der NDA müsse das JV über die gesamte Projektlaufzeit schützen.</w:t>
      </w:r>
    </w:p>
    <w:p>
      <w:pPr>
        <w:jc w:val="left"/>
      </w:pPr>
      <w:r>
        <w:t>RA Dr. Roosendaal: Die gestufte Laufzeit erreicht 7 Jahre, wenn das JV operativ wird — das sei eine faire Kopplung. Geht das JV nicht zustande, sollte der NDA nach 3 Jahren auslaufen.</w:t>
      </w:r>
    </w:p>
    <w:p>
      <w:pPr>
        <w:jc w:val="left"/>
      </w:pPr>
      <w:r>
        <w:rPr>
          <w:b/>
        </w:rPr>
        <w:t>Tentative Einigung auf gestufte Laufzeit 3+2+2 — vorbehaltlich Absegnung durch beide Vorstände.</w:t>
      </w:r>
    </w:p>
    <w:p/>
    <w:p>
      <w:pPr>
        <w:pStyle w:val="Heading2"/>
      </w:pPr>
      <w:r>
        <w:rPr>
          <w:rFonts w:ascii="Times New Roman" w:hAnsi="Times New Roman"/>
        </w:rPr>
        <w:t>13:00 — Mittagspause (75 Minuten)</w:t>
      </w:r>
    </w:p>
    <w:p/>
    <w:p>
      <w:pPr>
        <w:pStyle w:val="Heading2"/>
      </w:pPr>
      <w:r>
        <w:rPr>
          <w:rFonts w:ascii="Times New Roman" w:hAnsi="Times New Roman"/>
        </w:rPr>
        <w:t>14:15 — Diskussion: Gerichtsstand</w:t>
      </w:r>
    </w:p>
    <w:p>
      <w:pPr>
        <w:jc w:val="left"/>
      </w:pPr>
      <w:r>
        <w:t>RA Dr. Roosendaal: DIS Hamburg, deutsches Recht — keine Bewegung.</w:t>
      </w:r>
    </w:p>
    <w:p>
      <w:pPr>
        <w:jc w:val="left"/>
      </w:pPr>
      <w:r>
        <w:t>David Asante: SIAC sei für Eickmanns Finanzierung mit Singapurer Banken erforderlich.</w:t>
      </w:r>
    </w:p>
    <w:p>
      <w:pPr>
        <w:jc w:val="left"/>
      </w:pPr>
      <w:r>
        <w:t>Dr. Roosendaal: ICC Frankfurt als Alternative; ICC-Schiedssprüche sind ebenso international anerkannt und in Singapur vollstreckbar.</w:t>
      </w:r>
    </w:p>
    <w:p>
      <w:pPr>
        <w:jc w:val="left"/>
      </w:pPr>
      <w:r>
        <w:t>Priya Rajakumar: Eickmanns Hauptgeldgeber (DBS Bank) akzeptiere auch DIS-Klauseln. Sie werde intern prüfen.</w:t>
      </w:r>
    </w:p>
    <w:p>
      <w:pPr>
        <w:jc w:val="left"/>
      </w:pPr>
      <w:r>
        <w:rPr>
          <w:b/>
        </w:rPr>
        <w:t>Ergebnis Tag 1: Gerichtsstand vertagt auf Tag 2.</w:t>
      </w:r>
    </w:p>
    <w:p/>
    <w:p>
      <w:pPr>
        <w:pStyle w:val="Heading2"/>
      </w:pPr>
      <w:r>
        <w:rPr>
          <w:rFonts w:ascii="Times New Roman" w:hAnsi="Times New Roman"/>
        </w:rPr>
        <w:t>15:30 — Diskussion: Exportkontrolle / Iran</w:t>
      </w:r>
    </w:p>
    <w:p>
      <w:pPr>
        <w:jc w:val="left"/>
      </w:pPr>
      <w:r>
        <w:t>Dr. Norderhof: Die Iran-Projektkomponente ist für Windsysteme nur umsetzbar, wenn die BAFA-Vorabauskunft positiv ist. Der NDA muss dies widerspiegeln.</w:t>
      </w:r>
    </w:p>
    <w:p>
      <w:pPr>
        <w:jc w:val="left"/>
      </w:pPr>
      <w:r>
        <w:t>Frederick Eickmann: Eickmann habe Erfahrung mit BAFA-Verfahren; er erwartet eine Genehmigung innerhalb von 3 Monaten.</w:t>
      </w:r>
    </w:p>
    <w:p>
      <w:pPr>
        <w:jc w:val="left"/>
      </w:pPr>
      <w:r>
        <w:t>RA Dr. Roosendaal: BAFA-Vorabauskunft reicht als Bedingung für den Iran-Kontext nicht; bei Nichterteilung braucht Windsysteme ein Sonderkündigungsrecht.</w:t>
      </w:r>
    </w:p>
    <w:p>
      <w:pPr>
        <w:jc w:val="left"/>
      </w:pPr>
      <w:r>
        <w:rPr>
          <w:b/>
        </w:rPr>
        <w:t>Eickmann akzeptiert BAFA-Condition im Grundsatz; Formulierung der Klausel auf Tag 2 verschoben.</w:t>
      </w:r>
    </w:p>
    <w:p/>
    <w:p>
      <w:pPr>
        <w:pStyle w:val="Heading2"/>
      </w:pPr>
      <w:r>
        <w:rPr>
          <w:rFonts w:ascii="Times New Roman" w:hAnsi="Times New Roman"/>
        </w:rPr>
        <w:t>17:00 — Diskussion: Konzernübertragungsklausel</w:t>
      </w:r>
    </w:p>
    <w:p>
      <w:pPr>
        <w:jc w:val="left"/>
      </w:pPr>
      <w:r>
        <w:t>RA Dr. Roosendaal legt Windsysteme-Position dar: Mehr Novin Energy Co. (Iran) muss explizit von Übertragbarkeit ausgeschlossen sein.</w:t>
      </w:r>
    </w:p>
    <w:p>
      <w:pPr>
        <w:jc w:val="left"/>
      </w:pPr>
      <w:r>
        <w:t>Frederick Eickmann zeigt sich überrascht über die Nennung von Mehr Novin; es handle sich um eine Minderheitsbeteiligung ohne operativen Einfluss.</w:t>
      </w:r>
    </w:p>
    <w:p>
      <w:pPr>
        <w:jc w:val="left"/>
      </w:pPr>
      <w:r>
        <w:t>RA Dr. Roosendaal: Die Beteiligungshöhe ist unerheblich; Sanktionsrecht richtet sich nach Rechtspersönlichkeit und Eigentümerschaft.</w:t>
      </w:r>
    </w:p>
    <w:p>
      <w:pPr>
        <w:jc w:val="left"/>
      </w:pPr>
      <w:r>
        <w:rPr>
          <w:b/>
        </w:rPr>
        <w:t>Eickmann akzeptiert Whitelist-Konzept (Annex B) — Mehr Novin Energy Co. wird nicht in Annex B aufgenommen.</w:t>
      </w:r>
    </w:p>
    <w:p/>
    <w:p>
      <w:pPr>
        <w:pStyle w:val="Heading2"/>
      </w:pPr>
      <w:r>
        <w:rPr>
          <w:rFonts w:ascii="Times New Roman" w:hAnsi="Times New Roman"/>
        </w:rPr>
        <w:t>18:00 — Zusammenfassung Tag 1 / Nächste Schritte</w:t>
      </w:r>
    </w:p>
    <w:p>
      <w:pPr>
        <w:pStyle w:val="ListBullet"/>
      </w:pPr>
      <w:r>
        <w:t>Residual-Klausel: Streichung vereinbart (vorbehaltlich Vorstand).</w:t>
      </w:r>
    </w:p>
    <w:p>
      <w:pPr>
        <w:pStyle w:val="ListBullet"/>
      </w:pPr>
      <w:r>
        <w:t>Laufzeit: 3+2+2 tentativ vereinbart.</w:t>
      </w:r>
    </w:p>
    <w:p>
      <w:pPr>
        <w:pStyle w:val="ListBullet"/>
      </w:pPr>
      <w:r>
        <w:t>Exportkontrolle/Iran: Grundsatz akzeptiert; Formulierung morgen.</w:t>
      </w:r>
    </w:p>
    <w:p>
      <w:pPr>
        <w:pStyle w:val="ListBullet"/>
      </w:pPr>
      <w:r>
        <w:t>Gerichtsstand: Offen (Tag 2).</w:t>
      </w:r>
    </w:p>
    <w:p>
      <w:pPr>
        <w:pStyle w:val="ListBullet"/>
      </w:pPr>
      <w:r>
        <w:t>Konzernübertragung: Whitelist-Konzept vereinbart.</w:t>
      </w:r>
    </w:p>
    <w:p>
      <w:pPr>
        <w:jc w:val="left"/>
      </w:pPr>
      <w:r>
        <w:rPr>
          <w:b/>
        </w:rPr>
        <w:t>Protokoll von Lena Wohlgemuth, LL.M. am 18.02.2026 gezeichnet.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