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20 — Verhandlungsprotokoll Tag 2</w:t>
      </w:r>
    </w:p>
    <w:p>
      <w:pPr>
        <w:jc w:val="left"/>
      </w:pPr>
      <w:r>
        <w:rPr>
          <w:b/>
        </w:rPr>
        <w:t>AZ:</w:t>
      </w:r>
      <w:r>
        <w:t xml:space="preserve"> MR-2026-1118</w:t>
      </w:r>
    </w:p>
    <w:p>
      <w:pPr>
        <w:jc w:val="left"/>
      </w:pPr>
      <w:r>
        <w:rPr>
          <w:b/>
        </w:rPr>
        <w:t>Datum:</w:t>
      </w:r>
      <w:r>
        <w:t xml:space="preserve"> 18. Februar 2026</w:t>
      </w:r>
    </w:p>
    <w:p>
      <w:pPr>
        <w:jc w:val="left"/>
      </w:pPr>
      <w:r>
        <w:rPr>
          <w:b/>
        </w:rPr>
        <w:t>Ort:</w:t>
      </w:r>
      <w:r>
        <w:t xml:space="preserve"> SIAC Maxwell Chambers Suites, 28 Maxwell Road, Singapore 069120, Room 5B</w:t>
      </w:r>
    </w:p>
    <w:p>
      <w:pPr>
        <w:jc w:val="left"/>
      </w:pPr>
      <w:r>
        <w:rPr>
          <w:b/>
        </w:rPr>
        <w:t>Beginn:</w:t>
      </w:r>
      <w:r>
        <w:t xml:space="preserve"> 09:00 Uhr (SGT)</w:t>
      </w:r>
    </w:p>
    <w:p>
      <w:pPr>
        <w:jc w:val="left"/>
      </w:pPr>
      <w:r>
        <w:rPr>
          <w:b/>
        </w:rPr>
        <w:t>Ende:</w:t>
      </w:r>
      <w:r>
        <w:t xml:space="preserve"> 16:30 Uhr (SGT)</w:t>
      </w:r>
    </w:p>
    <w:p/>
    <w:p>
      <w:pPr>
        <w:pStyle w:val="Heading2"/>
      </w:pPr>
      <w:r>
        <w:rPr>
          <w:rFonts w:ascii="Times New Roman" w:hAnsi="Times New Roman"/>
        </w:rPr>
        <w:t>Anwesende</w:t>
      </w:r>
    </w:p>
    <w:p>
      <w:pPr>
        <w:jc w:val="left"/>
      </w:pPr>
      <w:r>
        <w:rPr>
          <w:b/>
        </w:rPr>
        <w:t>Windsysteme Norderhof AG:</w:t>
      </w:r>
    </w:p>
    <w:p>
      <w:pPr>
        <w:pStyle w:val="ListBullet"/>
      </w:pPr>
      <w:r>
        <w:t>Dr. Aram Eichenmuller (CFO, neu hinzugekommen)</w:t>
      </w:r>
    </w:p>
    <w:p>
      <w:pPr>
        <w:pStyle w:val="ListBullet"/>
      </w:pPr>
      <w:r>
        <w:t>Lena Wohlgemuth, LL.M. (Rechtsabteilung)</w:t>
      </w:r>
    </w:p>
    <w:p>
      <w:pPr>
        <w:pStyle w:val="ListBullet"/>
      </w:pPr>
      <w:r>
        <w:t>RA Dr. Mark Roosendaal</w:t>
      </w:r>
    </w:p>
    <w:p>
      <w:pPr>
        <w:jc w:val="left"/>
      </w:pPr>
      <w:r>
        <w:rPr>
          <w:b/>
        </w:rPr>
        <w:t>Eickmann Wirtschaftspartner Pte. Ltd.:</w:t>
      </w:r>
    </w:p>
    <w:p>
      <w:pPr>
        <w:pStyle w:val="ListBullet"/>
      </w:pPr>
      <w:r>
        <w:t>Frederick Eickmann (Managing Director)</w:t>
      </w:r>
    </w:p>
    <w:p>
      <w:pPr>
        <w:pStyle w:val="ListBullet"/>
      </w:pPr>
      <w:r>
        <w:t>Priya Rajakumar (In-house Legal Counsel)</w:t>
      </w:r>
    </w:p>
    <w:p>
      <w:pPr>
        <w:pStyle w:val="ListBullet"/>
      </w:pPr>
      <w:r>
        <w:t>David Asante (Harrington &amp; Weld LLP, per Video)</w:t>
      </w:r>
    </w:p>
    <w:p>
      <w:pPr>
        <w:jc w:val="left"/>
      </w:pPr>
      <w:r>
        <w:rPr>
          <w:b/>
        </w:rPr>
        <w:t>Abwesend:</w:t>
      </w:r>
      <w:r>
        <w:t xml:space="preserve"> Dr. Norderhof (Rückreise nach Deutschland); Dr. Tannenmoor (nicht zugeschaltet)</w:t>
      </w:r>
    </w:p>
    <w:p>
      <w:pPr>
        <w:jc w:val="left"/>
      </w:pPr>
      <w:r>
        <w:rPr>
          <w:b/>
        </w:rPr>
        <w:t>Protokoll:</w:t>
      </w:r>
      <w:r>
        <w:t xml:space="preserve"> RA Dr. Mark Roosendaal</w:t>
      </w:r>
    </w:p>
    <w:p/>
    <w:p>
      <w:pPr>
        <w:pStyle w:val="Heading2"/>
      </w:pPr>
      <w:r>
        <w:rPr>
          <w:rFonts w:ascii="Times New Roman" w:hAnsi="Times New Roman"/>
        </w:rPr>
        <w:t>09:00 — Nachbesprechung Tag 1</w:t>
      </w:r>
    </w:p>
    <w:p>
      <w:pPr>
        <w:jc w:val="left"/>
      </w:pPr>
      <w:r>
        <w:t>RA Dr. Roosendaal fasst die tentativ vereinbarten Punkte zusammen (vgl. Aktenstück 19). Priya Rajakumar bestätigt, dass DBS Bank eine DIS-Schiedsklausel mit deutschem Recht akzeptiert, sofern ein deutsches Gericht für einstweiligen Rechtsschutz zuständig bleibt (was die Abs. 4 des NDA v7-Entwurfs gewährleistet).</w:t>
      </w:r>
    </w:p>
    <w:p/>
    <w:p>
      <w:pPr>
        <w:pStyle w:val="Heading2"/>
      </w:pPr>
      <w:r>
        <w:rPr>
          <w:rFonts w:ascii="Times New Roman" w:hAnsi="Times New Roman"/>
        </w:rPr>
        <w:t>09:30 — Gerichtsstand: Finale Einigung</w:t>
      </w:r>
    </w:p>
    <w:p>
      <w:pPr>
        <w:jc w:val="left"/>
      </w:pPr>
      <w:r>
        <w:t>Frederick Eickmann gibt bekannt, dass Eickmann die DIS-Klausel (Hamburg, deutsches Recht) akzeptiert — unter der Bedingung, dass Windsysteme bei der Mitarbeiter-Abwerbeklausel auf 100.000 EUR pro Verstoß geht (statt der 75.000 EUR aus dem Windsysteme-Gegenentwurf).</w:t>
      </w:r>
    </w:p>
    <w:p>
      <w:pPr>
        <w:jc w:val="left"/>
      </w:pPr>
      <w:r>
        <w:t>RA Dr. Roosendaal: Dr. Eichenmuller (CFO) stimmt 100.000 EUR zu; Jahresdeckel 400.000 EUR.</w:t>
      </w:r>
    </w:p>
    <w:p>
      <w:pPr>
        <w:jc w:val="left"/>
      </w:pPr>
      <w:r>
        <w:t>Eickmann akzeptiert Jahresdeckel 400.000 EUR.</w:t>
      </w:r>
    </w:p>
    <w:p>
      <w:pPr>
        <w:jc w:val="left"/>
      </w:pPr>
      <w:r>
        <w:rPr>
          <w:b/>
        </w:rPr>
        <w:t>Einigung Gerichtsstand: DIS Hamburg, deutsches Recht. Einigung Non-Solicitation: 100.000 EUR je Verstoß, Jahresdeckel 400.000 EUR.</w:t>
      </w:r>
    </w:p>
    <w:p/>
    <w:p>
      <w:pPr>
        <w:pStyle w:val="Heading2"/>
      </w:pPr>
      <w:r>
        <w:rPr>
          <w:rFonts w:ascii="Times New Roman" w:hAnsi="Times New Roman"/>
        </w:rPr>
        <w:t>10:45 — Exportkontrollklausel: Wortlaut</w:t>
      </w:r>
    </w:p>
    <w:p>
      <w:pPr>
        <w:jc w:val="left"/>
      </w:pPr>
      <w:r>
        <w:t>David Asante per Video: Die BAFA-Condition (§ 11 Abs. 2 NDA v7-Entwurf) sollte zeitlich befristet sein — 6 Monate nach Vertragsschluss, danach automatische Aufhebung der Kondition.</w:t>
      </w:r>
    </w:p>
    <w:p>
      <w:pPr>
        <w:jc w:val="left"/>
      </w:pPr>
      <w:r>
        <w:t>RA Dr. Roosendaal: Inakzeptabel. Die BAFA-Vorabauskunft kann kein Verfallsdatum für die Sicherheitsüberprüfung sein. Windsysteme braucht das Ergebnis, nicht eine Frist.</w:t>
      </w:r>
    </w:p>
    <w:p>
      <w:pPr>
        <w:jc w:val="left"/>
      </w:pPr>
      <w:r>
        <w:t>Dr. Eichenmuller: Wenn BAFA innerhalb von 6 Monaten keine Vorabauskunft erteilt, sollte es einen Mechanismus geben. RA Dr. Roosendaal schlägt vor: Bei ausbleibender BAFA-Vorabauskunft nach 9 Monaten ist jede Partei berechtigt, das Iran-Projekt aus dem JV-Scope auszuklammern.</w:t>
      </w:r>
    </w:p>
    <w:p>
      <w:pPr>
        <w:jc w:val="left"/>
      </w:pPr>
      <w:r>
        <w:t>Eickmann akzeptiert die 9-Monats-Ausklammerungs-Option.</w:t>
      </w:r>
    </w:p>
    <w:p>
      <w:pPr>
        <w:jc w:val="left"/>
      </w:pPr>
      <w:r>
        <w:rPr>
          <w:b/>
        </w:rPr>
        <w:t>Einigung Exportkontrollklausel: Wortlaut gem. § 11 NDA v7 mit 9-Monats-Option.</w:t>
      </w:r>
    </w:p>
    <w:p/>
    <w:p>
      <w:pPr>
        <w:pStyle w:val="Heading2"/>
      </w:pPr>
      <w:r>
        <w:rPr>
          <w:rFonts w:ascii="Times New Roman" w:hAnsi="Times New Roman"/>
        </w:rPr>
        <w:t>12:00 — Vertragsstrafe-Staffelung (finale Details)</w:t>
      </w:r>
    </w:p>
    <w:p>
      <w:pPr>
        <w:jc w:val="left"/>
      </w:pPr>
      <w:r>
        <w:t>Eickmann hatte in der Nacht eine leicht modifizierte Vertragsstrafe-Staffelung vorgeschlagen: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Verstossklasse</w:t>
            </w:r>
          </w:p>
        </w:tc>
        <w:tc>
          <w:tcPr>
            <w:tcW w:type="dxa" w:w="2268"/>
          </w:tcPr>
          <w:p>
            <w:r>
              <w:rPr>
                <w:rFonts w:ascii="Times New Roman" w:hAnsi="Times New Roman"/>
                <w:b/>
                <w:sz w:val="20"/>
              </w:rPr>
              <w:t>Eickmann-Vorschlag Nacht</w:t>
            </w:r>
          </w:p>
        </w:tc>
        <w:tc>
          <w:tcPr>
            <w:tcW w:type="dxa" w:w="2268"/>
          </w:tcPr>
          <w:p>
            <w:r>
              <w:rPr>
                <w:rFonts w:ascii="Times New Roman" w:hAnsi="Times New Roman"/>
                <w:b/>
                <w:sz w:val="20"/>
              </w:rPr>
              <w:t>Windsysteme (Tag 2)</w:t>
            </w:r>
          </w:p>
        </w:tc>
        <w:tc>
          <w:tcPr>
            <w:tcW w:type="dxa" w:w="2268"/>
          </w:tcPr>
          <w:p>
            <w:r>
              <w:rPr>
                <w:rFonts w:ascii="Times New Roman" w:hAnsi="Times New Roman"/>
                <w:b/>
                <w:sz w:val="20"/>
              </w:rPr>
              <w:t>Finale Einigung</w:t>
            </w:r>
          </w:p>
        </w:tc>
      </w:tr>
      <w:tr>
        <w:tc>
          <w:tcPr>
            <w:tcW w:type="dxa" w:w="2268"/>
          </w:tcPr>
          <w:p>
            <w:r>
              <w:rPr>
                <w:rFonts w:ascii="Times New Roman" w:hAnsi="Times New Roman"/>
                <w:sz w:val="20"/>
              </w:rPr>
              <w:t>Leicht fahrlässig</w:t>
            </w:r>
          </w:p>
        </w:tc>
        <w:tc>
          <w:tcPr>
            <w:tcW w:type="dxa" w:w="2268"/>
          </w:tcPr>
          <w:p>
            <w:r>
              <w:rPr>
                <w:rFonts w:ascii="Times New Roman" w:hAnsi="Times New Roman"/>
                <w:sz w:val="20"/>
              </w:rPr>
              <w:t>60.000 EUR</w:t>
            </w:r>
          </w:p>
        </w:tc>
        <w:tc>
          <w:tcPr>
            <w:tcW w:type="dxa" w:w="2268"/>
          </w:tcPr>
          <w:p>
            <w:r>
              <w:rPr>
                <w:rFonts w:ascii="Times New Roman" w:hAnsi="Times New Roman"/>
                <w:sz w:val="20"/>
              </w:rPr>
              <w:t>50.000 EUR</w:t>
            </w:r>
          </w:p>
        </w:tc>
        <w:tc>
          <w:tcPr>
            <w:tcW w:type="dxa" w:w="2268"/>
          </w:tcPr>
          <w:p>
            <w:r>
              <w:rPr>
                <w:rFonts w:ascii="Times New Roman" w:hAnsi="Times New Roman"/>
                <w:sz w:val="20"/>
              </w:rPr>
              <w:t>50.000 EUR</w:t>
            </w:r>
          </w:p>
        </w:tc>
      </w:tr>
      <w:tr>
        <w:tc>
          <w:tcPr>
            <w:tcW w:type="dxa" w:w="2268"/>
          </w:tcPr>
          <w:p>
            <w:r>
              <w:rPr>
                <w:rFonts w:ascii="Times New Roman" w:hAnsi="Times New Roman"/>
                <w:sz w:val="20"/>
              </w:rPr>
              <w:t>Schwer/vorsätzlich</w:t>
            </w:r>
          </w:p>
        </w:tc>
        <w:tc>
          <w:tcPr>
            <w:tcW w:type="dxa" w:w="2268"/>
          </w:tcPr>
          <w:p>
            <w:r>
              <w:rPr>
                <w:rFonts w:ascii="Times New Roman" w:hAnsi="Times New Roman"/>
                <w:sz w:val="20"/>
              </w:rPr>
              <w:t>130.000 EUR</w:t>
            </w:r>
          </w:p>
        </w:tc>
        <w:tc>
          <w:tcPr>
            <w:tcW w:type="dxa" w:w="2268"/>
          </w:tcPr>
          <w:p>
            <w:r>
              <w:rPr>
                <w:rFonts w:ascii="Times New Roman" w:hAnsi="Times New Roman"/>
                <w:sz w:val="20"/>
              </w:rPr>
              <w:t>120.000 EUR</w:t>
            </w:r>
          </w:p>
        </w:tc>
        <w:tc>
          <w:tcPr>
            <w:tcW w:type="dxa" w:w="2268"/>
          </w:tcPr>
          <w:p>
            <w:r>
              <w:rPr>
                <w:rFonts w:ascii="Times New Roman" w:hAnsi="Times New Roman"/>
                <w:sz w:val="20"/>
              </w:rPr>
              <w:t>120.000 EUR</w:t>
            </w:r>
          </w:p>
        </w:tc>
      </w:tr>
      <w:tr>
        <w:tc>
          <w:tcPr>
            <w:tcW w:type="dxa" w:w="2268"/>
          </w:tcPr>
          <w:p>
            <w:r>
              <w:rPr>
                <w:rFonts w:ascii="Times New Roman" w:hAnsi="Times New Roman"/>
                <w:sz w:val="20"/>
              </w:rPr>
              <w:t>Jahresdeckel</w:t>
            </w:r>
          </w:p>
        </w:tc>
        <w:tc>
          <w:tcPr>
            <w:tcW w:type="dxa" w:w="2268"/>
          </w:tcPr>
          <w:p>
            <w:r>
              <w:rPr>
                <w:rFonts w:ascii="Times New Roman" w:hAnsi="Times New Roman"/>
                <w:sz w:val="20"/>
              </w:rPr>
              <w:t>480.000 EUR</w:t>
            </w:r>
          </w:p>
        </w:tc>
        <w:tc>
          <w:tcPr>
            <w:tcW w:type="dxa" w:w="2268"/>
          </w:tcPr>
          <w:p>
            <w:r>
              <w:rPr>
                <w:rFonts w:ascii="Times New Roman" w:hAnsi="Times New Roman"/>
                <w:sz w:val="20"/>
              </w:rPr>
              <w:t>480.000 EUR</w:t>
            </w:r>
          </w:p>
        </w:tc>
        <w:tc>
          <w:tcPr>
            <w:tcW w:type="dxa" w:w="2268"/>
          </w:tcPr>
          <w:p>
            <w:r>
              <w:rPr>
                <w:rFonts w:ascii="Times New Roman" w:hAnsi="Times New Roman"/>
                <w:sz w:val="20"/>
              </w:rPr>
              <w:t>480.000 EUR</w:t>
            </w:r>
          </w:p>
        </w:tc>
      </w:tr>
    </w:tbl>
    <w:p>
      <w:pPr>
        <w:jc w:val="left"/>
      </w:pPr>
      <w:r>
        <w:rPr>
          <w:b/>
        </w:rPr>
        <w:t>Einigung auf 50.000/120.000 EUR, Jahresdeckel 480.000 EUR.</w:t>
      </w:r>
    </w:p>
    <w:p/>
    <w:p>
      <w:pPr>
        <w:pStyle w:val="Heading2"/>
      </w:pPr>
      <w:r>
        <w:rPr>
          <w:rFonts w:ascii="Times New Roman" w:hAnsi="Times New Roman"/>
        </w:rPr>
        <w:t>13:00 — Mittagspause (60 Minuten)</w:t>
      </w:r>
    </w:p>
    <w:p/>
    <w:p>
      <w:pPr>
        <w:pStyle w:val="Heading2"/>
      </w:pPr>
      <w:r>
        <w:rPr>
          <w:rFonts w:ascii="Times New Roman" w:hAnsi="Times New Roman"/>
        </w:rPr>
        <w:t>14:00 — Sonstige Klauseln: Redaktioneller Durchgang</w:t>
      </w:r>
    </w:p>
    <w:p>
      <w:pPr>
        <w:jc w:val="left"/>
      </w:pPr>
      <w:r>
        <w:t>Redaktioneller Durchgang des vollständigen NDA-Entwurfs v6. Sprachliche Korrekturen, Verweise auf Annexe A, B, C eingetragen. Folgende Annexe vereinbart:</w:t>
      </w:r>
    </w:p>
    <w:p>
      <w:pPr>
        <w:pStyle w:val="ListBullet"/>
      </w:pPr>
      <w:r>
        <w:rPr>
          <w:b/>
        </w:rPr>
        <w:t>Annex A:</w:t>
      </w:r>
      <w:r>
        <w:t xml:space="preserve"> Liste der Schlüsselmitarbeiter (Non-Solicitation).</w:t>
      </w:r>
    </w:p>
    <w:p>
      <w:pPr>
        <w:pStyle w:val="ListBullet"/>
      </w:pPr>
      <w:r>
        <w:rPr>
          <w:b/>
        </w:rPr>
        <w:t>Annex B:</w:t>
      </w:r>
      <w:r>
        <w:t xml:space="preserve"> Whitelist Konzerngesellschaften Eickmann (ohne Mehr Novin Energy Co.).</w:t>
      </w:r>
    </w:p>
    <w:p>
      <w:pPr>
        <w:pStyle w:val="ListBullet"/>
      </w:pPr>
      <w:r>
        <w:rPr>
          <w:b/>
        </w:rPr>
        <w:t>Annex C:</w:t>
      </w:r>
      <w:r>
        <w:t xml:space="preserve"> Mindestanforderungen Geheimhaltungsmaßnahmen (GeschGehG-Compliance).</w:t>
      </w:r>
    </w:p>
    <w:p/>
    <w:p>
      <w:pPr>
        <w:pStyle w:val="Heading2"/>
      </w:pPr>
      <w:r>
        <w:rPr>
          <w:rFonts w:ascii="Times New Roman" w:hAnsi="Times New Roman"/>
        </w:rPr>
        <w:t>15:30 — Paraphierung NDA v7</w:t>
      </w:r>
    </w:p>
    <w:p>
      <w:pPr>
        <w:jc w:val="left"/>
      </w:pPr>
      <w:r>
        <w:t>Frederick Eickmann und Dr. Eichenmuller paraphieren die konsolidierte Fassung NDA v7 als „agreed in principle". Die Unterzeichnung durch die bevollmächtigten Unternehmensvertreter (Dr. Norderhof und Frederick Eickmann) ist für den 25. Februar 2026 geplant (ggf. per Zirkularumlauf und DocuSign).</w:t>
      </w:r>
    </w:p>
    <w:p/>
    <w:p>
      <w:pPr>
        <w:pStyle w:val="Heading2"/>
      </w:pPr>
      <w:r>
        <w:rPr>
          <w:rFonts w:ascii="Times New Roman" w:hAnsi="Times New Roman"/>
        </w:rPr>
        <w:t>16:00 — Abschluss</w:t>
      </w:r>
    </w:p>
    <w:p>
      <w:pPr>
        <w:jc w:val="left"/>
      </w:pPr>
      <w:r>
        <w:t>RA Dr. Roosendaal dankt für die konstruktive Zusammenarbeit. Frederick Eickmann: „We have a deal that works for both sides." Dr. Eichenmuller betont, dass Windsysteme die BAFA-Vorabauskunft als nächste wesentliche Voraussetzung sieht.</w:t>
      </w:r>
    </w:p>
    <w:p>
      <w:pPr>
        <w:jc w:val="left"/>
      </w:pPr>
      <w:r>
        <w:rPr>
          <w:b/>
        </w:rPr>
        <w:t>Nächste Schritte:</w:t>
      </w:r>
    </w:p>
    <w:p>
      <w:pPr>
        <w:pStyle w:val="ListBullet"/>
      </w:pPr>
      <w:r>
        <w:t>Finaler Vertragstext NDA v7 durch Kanzlei Roosendaal bis 20. Februar 2026.</w:t>
      </w:r>
    </w:p>
    <w:p>
      <w:pPr>
        <w:pStyle w:val="ListBullet"/>
      </w:pPr>
      <w:r>
        <w:t>Übersetzung Annex C ins Englische bis 21. Februar 2026.</w:t>
      </w:r>
    </w:p>
    <w:p>
      <w:pPr>
        <w:pStyle w:val="ListBullet"/>
      </w:pPr>
      <w:r>
        <w:t>Unterzeichnung via DocuSign: 25. Februar 2026.</w:t>
      </w:r>
    </w:p>
    <w:p>
      <w:pPr>
        <w:pStyle w:val="ListBullet"/>
      </w:pPr>
      <w:r>
        <w:t>BAFA-Vorabauskunft Az. 4022-26/Iran-WS-188: Follow-up BAFA durch Kanzlei.</w:t>
      </w:r>
    </w:p>
    <w:p>
      <w:pPr>
        <w:pStyle w:val="ListBullet"/>
      </w:pPr>
      <w:r>
        <w:t>IT-Security-Bericht Eickmann (ISO 27001): Anforderung bis 28. Februar 2026.</w:t>
      </w:r>
    </w:p>
    <w:p>
      <w:pPr>
        <w:jc w:val="left"/>
      </w:pPr>
      <w:r>
        <w:rPr>
          <w:b/>
        </w:rPr>
        <w:t>Protokoll von RA Dr. Mark Roosendaal, 18.02.2026.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