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Mandatsnotiz</w:t>
      </w:r>
    </w:p>
    <w:p>
      <w:pPr>
        <w:jc w:val="left"/>
      </w:pPr>
      <w:r>
        <w:t>Lahnwerke Maschinenbau AG rollt Slack aus, verfolgt LKW-Werkzeugcontainer mit AirTags, betreibt MDM auf Firmenhandys und hat nach einem Lieferanten-VPN-Vorfall Zweifel an NIS-2-/BSI-Reife.</w:t>
      </w:r>
    </w:p>
    <w:p>
      <w:pPr>
        <w:jc w:val="left"/>
      </w:pPr>
      <w:r>
        <w:t>Beteiligte: Geschäftsleitung, Rechtsabteilung, operative Fachabteilungen, externe IT/Compliance-Berater und mehrere Personen mit eigenen Interessen. Die Akte ist bewusst unaufgeräumt: manche Unterlagen widersprechen sich, Zahlenstände weichen ab und einzelne Dokumente wirken bereits überholt.</w:t>
      </w:r>
    </w:p>
    <w:p>
      <w:pPr>
        <w:jc w:val="left"/>
      </w:pPr>
      <w:r>
        <w:t>Arbeitsziel heute: zuerst sortieren, dann keine vorschnelle Rechtsmeinung ausgeben. Jede harte Aussage soll auf ein konkretes Aktenstück oder eine frei prüfbare Quelle zurückgeführt werden.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