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Prüffragen</w:t>
      </w:r>
    </w:p>
    <w:p>
      <w:pPr>
        <w:pStyle w:val="ListNumber"/>
      </w:pPr>
      <w:r>
        <w:t>Welche Entscheidung soll am Ende unterschrieben werden?</w:t>
      </w:r>
    </w:p>
    <w:p>
      <w:pPr>
        <w:pStyle w:val="ListNumber"/>
      </w:pPr>
      <w:r>
        <w:t>Welche Unterlagen fehlen noch wirklich?</w:t>
      </w:r>
    </w:p>
    <w:p>
      <w:pPr>
        <w:pStyle w:val="ListNumber"/>
      </w:pPr>
      <w:r>
        <w:t>Welche technische oder wirtschaftliche Tatsache darf nicht einfach unterstellt werden?</w:t>
      </w:r>
    </w:p>
    <w:p>
      <w:pPr>
        <w:pStyle w:val="ListNumber"/>
      </w:pPr>
      <w:r>
        <w:t>Wer kann verbindlich Auskunft geben?</w:t>
      </w:r>
    </w:p>
    <w:p>
      <w:pPr>
        <w:pStyle w:val="ListNumber"/>
      </w:pPr>
      <w:r>
        <w:t>Welche Rechtsquelle muss live geprüft werden?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