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rFonts w:ascii="Times New Roman" w:hAnsi="Times New Roman"/>
        </w:rPr>
        <w:t>Krisenstabs-Runbook — Auszug</w:t>
      </w:r>
    </w:p>
    <w:p>
      <w:pPr>
        <w:pStyle w:val="Heading2"/>
      </w:pPr>
      <w:r>
        <w:rPr>
          <w:rFonts w:ascii="Times New Roman" w:hAnsi="Times New Roman"/>
        </w:rPr>
        <w:t>Aktivierungstrigger</w:t>
      </w:r>
    </w:p>
    <w:p>
      <w:pPr>
        <w:jc w:val="left"/>
      </w:pPr>
      <w:r>
        <w:t xml:space="preserve">Der Krisenstab wird aktiviert, sobald </w:t>
      </w:r>
      <w:r>
        <w:rPr>
          <w:b/>
        </w:rPr>
        <w:t>eines</w:t>
      </w:r>
      <w:r>
        <w:t xml:space="preserve"> der folgenden Ereignisse eintritt:</w:t>
      </w:r>
    </w:p>
    <w:p>
      <w:pPr>
        <w:pStyle w:val="ListBullet"/>
      </w:pPr>
      <w:r>
        <w:t>Vermuteter oder bestätigter Einbruch in produktive IT-Systeme (Produktion, Engineering, ERP, M365-Tenant).</w:t>
      </w:r>
    </w:p>
    <w:p>
      <w:pPr>
        <w:pStyle w:val="ListBullet"/>
      </w:pPr>
      <w:r>
        <w:t>Eingehende Sicherheitswarnung des BSI, eines CERT, eines Versicherers oder eines Geschäftspartners mit konkretem Bezug auf Lahnwerke-Systeme.</w:t>
      </w:r>
    </w:p>
    <w:p>
      <w:pPr>
        <w:pStyle w:val="ListBullet"/>
      </w:pPr>
      <w:r>
        <w:t>Ungeplanter Ausfall von M365 (Teams/Outlook/SharePoint) länger als 60 Minuten in Verbindung mit ungewöhnlichem Verhalten.</w:t>
      </w:r>
    </w:p>
    <w:p>
      <w:pPr>
        <w:pStyle w:val="ListBullet"/>
      </w:pPr>
      <w:r>
        <w:t>Verlust eines mit Lahnwerke-Daten konfigurierten Endgeräts (Laptop, Smartphone, AirTag-bewehrte Werkstücke), insbesondere mit Hinweisen auf gezielten Diebstahl.</w:t>
      </w:r>
    </w:p>
    <w:p>
      <w:pPr>
        <w:pStyle w:val="ListBullet"/>
      </w:pPr>
      <w:r>
        <w:t>Eingehender Hinweis über eine externe Meldestelle (Hinweisgeber, Auditor, Kunde) auf konkrete Datenschutz- oder Cybersicherheitsverletzungen.</w:t>
      </w:r>
    </w:p>
    <w:p>
      <w:pPr>
        <w:pStyle w:val="Heading2"/>
      </w:pPr>
      <w:r>
        <w:rPr>
          <w:rFonts w:ascii="Times New Roman" w:hAnsi="Times New Roman"/>
        </w:rPr>
        <w:t>Besetzung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268"/>
        <w:gridCol w:w="2268"/>
        <w:gridCol w:w="2268"/>
        <w:gridCol w:w="2268"/>
      </w:tblGrid>
      <w:tr>
        <w:tc>
          <w:tcPr>
            <w:tcW w:type="dxa" w:w="2268"/>
          </w:tcPr>
          <w:p>
            <w:r>
              <w:rPr>
                <w:rFonts w:ascii="Times New Roman" w:hAnsi="Times New Roman"/>
                <w:b/>
                <w:sz w:val="20"/>
              </w:rPr>
              <w:t>Rolle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b/>
                <w:sz w:val="20"/>
              </w:rPr>
              <w:t>Hauptperson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b/>
                <w:sz w:val="20"/>
              </w:rPr>
              <w:t>Vertretung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b/>
                <w:sz w:val="20"/>
              </w:rPr>
              <w:t>Eskalationsbefugnis</w:t>
            </w:r>
          </w:p>
        </w:tc>
      </w:tr>
      <w:tr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Krisenstabsleitung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CEO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COO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volle</w:t>
            </w:r>
          </w:p>
        </w:tc>
      </w:tr>
      <w:tr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Informationssicherheit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CISO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Security-Engineer (Bereitschaft)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technisch</w:t>
            </w:r>
          </w:p>
        </w:tc>
      </w:tr>
      <w:tr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Rechtsabteilung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Justiziarin Dr. Wedekind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Stv. Justitiariat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rechtlich, einschl. Anzeigeerstattung</w:t>
            </w:r>
          </w:p>
        </w:tc>
      </w:tr>
      <w:tr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Datenschutz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DSB Frau Brauer (extern)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DSB-Stellvertretung interne IT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DSGVO-Meldung Art. 33</w:t>
            </w:r>
          </w:p>
        </w:tc>
      </w:tr>
      <w:tr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HR / Personal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Personalleitung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Stv. PL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Beschäftigtenkommunikation</w:t>
            </w:r>
          </w:p>
        </w:tc>
      </w:tr>
      <w:tr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Externe Kommunikation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Kommunikationsleitung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Pressesprecher Stahlring AG (Eigentümer)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Pressemitteilungen</w:t>
            </w:r>
          </w:p>
        </w:tc>
      </w:tr>
      <w:tr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IT-Betrieb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Leitung IT-Operations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Bereitschaftsdienst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technische Sofortmaßnahmen</w:t>
            </w:r>
          </w:p>
        </w:tc>
      </w:tr>
      <w:tr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Externer Forensiker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Firma Bittner+Renz, Düsseldorf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Backup: NorthSec, Hamburg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Forensik-Image-Sicherung</w:t>
            </w:r>
          </w:p>
        </w:tc>
      </w:tr>
    </w:tbl>
    <w:p>
      <w:pPr>
        <w:pStyle w:val="Heading2"/>
      </w:pPr>
      <w:r>
        <w:rPr>
          <w:rFonts w:ascii="Times New Roman" w:hAnsi="Times New Roman"/>
        </w:rPr>
        <w:t>Offene Lücken (Stand vor Vorfall)</w:t>
      </w:r>
    </w:p>
    <w:p>
      <w:pPr>
        <w:pStyle w:val="ListBullet"/>
      </w:pPr>
      <w:r>
        <w:rPr>
          <w:b/>
        </w:rPr>
        <w:t>Notfalltelefonliste:</w:t>
      </w:r>
      <w:r>
        <w:t xml:space="preserve"> Aktuell nur in SharePoint hinterlegt. Bei M365-Ausfall NICHT verfügbar. Sofortmaßnahme: Liste in verschlüsselter Offline-Kopie (Datentresor, USB) und Papierausdruck im Tresor der Geschäftsleitung; halbjährlicher Test.</w:t>
      </w:r>
    </w:p>
    <w:p>
      <w:pPr>
        <w:pStyle w:val="ListBullet"/>
      </w:pPr>
      <w:r>
        <w:rPr>
          <w:b/>
        </w:rPr>
        <w:t>Out-of-Band-Kommunikation:</w:t>
      </w:r>
      <w:r>
        <w:t xml:space="preserve"> Bisher kein Backup-Messenger. Empfehlung: Signal-Gruppe "Lahnwerke-CIRT" mit allen Krisenstabsmitgliedern, parallel SMS-Verteiler.</w:t>
      </w:r>
    </w:p>
    <w:p>
      <w:pPr>
        <w:pStyle w:val="ListBullet"/>
      </w:pPr>
      <w:r>
        <w:rPr>
          <w:b/>
        </w:rPr>
        <w:t>Krisenstabraum:</w:t>
      </w:r>
      <w:r>
        <w:t xml:space="preserve"> Bisher kein dedizierter Raum, der vom Hauptnetz abkoppelbar ist. Vorschlag: Besprechungsraum 4-A mit Stand-alone Internetzugang (LTE-Router) als Fallback-Krisenstabraum.</w:t>
      </w:r>
    </w:p>
    <w:p>
      <w:pPr>
        <w:pStyle w:val="ListBullet"/>
      </w:pPr>
      <w:r>
        <w:rPr>
          <w:b/>
        </w:rPr>
        <w:t>Decision-Log:</w:t>
      </w:r>
      <w:r>
        <w:t xml:space="preserve"> Bislang ohne strukturierte Vorgabe. Künftig pro Eskalationsstufe Pflichtprotokoll mit Zeitstempel, Beschluss, Begründung, Verantwortlichem.</w:t>
      </w:r>
    </w:p>
    <w:p>
      <w:pPr>
        <w:pStyle w:val="Heading2"/>
      </w:pPr>
      <w:r>
        <w:rPr>
          <w:rFonts w:ascii="Times New Roman" w:hAnsi="Times New Roman"/>
        </w:rPr>
        <w:t>0-30-Minuten-Checkliste</w:t>
      </w:r>
    </w:p>
    <w:p>
      <w:pPr>
        <w:pStyle w:val="ListNumber"/>
      </w:pPr>
      <w:r>
        <w:t>Alarm via Telefon an Krisenstabsleitung (CEO) und CISO; bei Nicht-Erreichbarkeit über Vertretungsliste durchrufen.</w:t>
      </w:r>
    </w:p>
    <w:p>
      <w:pPr>
        <w:pStyle w:val="ListNumber"/>
      </w:pPr>
      <w:r>
        <w:t>Erste Einschätzung CISO: betroffene Systeme, geschätzter Datenumfang, externe Sichtbarkeit.</w:t>
      </w:r>
    </w:p>
    <w:p>
      <w:pPr>
        <w:pStyle w:val="ListNumber"/>
      </w:pPr>
      <w:r>
        <w:t>Justiziarin entscheidet über sofortige NIS2-Frühwarnung (innerhalb 24 Stunden an BSI nach § 32 BSIG iVm NIS2-Umsetzung) und DSGVO-Meldung (innerhalb 72 Stunden nach Art. 33 DSGVO).</w:t>
      </w:r>
    </w:p>
    <w:p>
      <w:pPr>
        <w:pStyle w:val="ListNumber"/>
      </w:pPr>
      <w:r>
        <w:t>IT-Betrieb beginnt Isolierung betroffener Segmente, sichert Logs, hält forensisches Image vor.</w:t>
      </w:r>
    </w:p>
    <w:p>
      <w:pPr>
        <w:pStyle w:val="ListNumber"/>
      </w:pPr>
      <w:r>
        <w:t>Externer Forensiker wird informiert und in Bereitschaft gesetzt.</w:t>
      </w:r>
    </w:p>
    <w:p>
      <w:pPr>
        <w:pStyle w:val="ListNumber"/>
      </w:pPr>
      <w:r>
        <w:t xml:space="preserve">Kommunikationsleitung bereitet </w:t>
      </w:r>
      <w:r>
        <w:rPr>
          <w:b/>
        </w:rPr>
        <w:t>Holding-Statement</w:t>
      </w:r>
      <w:r>
        <w:t xml:space="preserve"> vor (keine Veröffentlichung ohne Krisenstabsleitung).</w:t>
      </w:r>
    </w:p>
    <w:p>
      <w:pPr>
        <w:pStyle w:val="Heading2"/>
      </w:pPr>
      <w:r>
        <w:rPr>
          <w:rFonts w:ascii="Times New Roman" w:hAnsi="Times New Roman"/>
        </w:rPr>
        <w:t>30-Minuten-bis-4-Stunden-Checkliste</w:t>
      </w:r>
    </w:p>
    <w:p>
      <w:pPr>
        <w:pStyle w:val="ListNumber"/>
      </w:pPr>
      <w:r>
        <w:t>Krisenstab tagt physisch oder per Signal/Telefon — kein M365.</w:t>
      </w:r>
    </w:p>
    <w:p>
      <w:pPr>
        <w:pStyle w:val="ListNumber"/>
      </w:pPr>
      <w:r>
        <w:t>Decision-Log starten, Verantwortlichkeiten dokumentieren.</w:t>
      </w:r>
    </w:p>
    <w:p>
      <w:pPr>
        <w:pStyle w:val="ListNumber"/>
      </w:pPr>
      <w:r>
        <w:t>Eingehende Anfragen (Kunden, Presse, Beschäftigte) zentral kanalisieren über Kommunikationsleitung.</w:t>
      </w:r>
    </w:p>
    <w:p>
      <w:pPr>
        <w:pStyle w:val="ListNumber"/>
      </w:pPr>
      <w:r>
        <w:t>Konkrete NIS2-Frühwarnung an BSI vorbereiten; bei wesentlicher Beeinträchtigung Meldung über das BSI-Meldeportal absetzen (Konto siehe Justiziariat).</w:t>
      </w:r>
    </w:p>
    <w:p>
      <w:pPr>
        <w:pStyle w:val="ListNumber"/>
      </w:pPr>
      <w:r>
        <w:t>Bei personenbezogenen Daten: Vorabprüfung Art. 33 DSGVO durch DSB; bei "wahrscheinlich Risiko für Rechte und Freiheiten" → Meldung an Landesdatenschutzaufsicht.</w:t>
      </w:r>
    </w:p>
    <w:p>
      <w:pPr>
        <w:pStyle w:val="Heading2"/>
      </w:pPr>
      <w:r>
        <w:rPr>
          <w:rFonts w:ascii="Times New Roman" w:hAnsi="Times New Roman"/>
        </w:rPr>
        <w:t>4-bis-24-Stunden-Checkliste</w:t>
      </w:r>
    </w:p>
    <w:p>
      <w:pPr>
        <w:pStyle w:val="ListNumber"/>
      </w:pPr>
      <w:r>
        <w:t>Erste forensische Erkenntnisse: Eindringvektor, Persistenzmechanismen, betroffene Datenkategorien.</w:t>
      </w:r>
    </w:p>
    <w:p>
      <w:pPr>
        <w:pStyle w:val="ListNumber"/>
      </w:pPr>
      <w:r>
        <w:t>NIS2-</w:t>
      </w:r>
      <w:r>
        <w:rPr>
          <w:b/>
        </w:rPr>
        <w:t>Erstmeldung</w:t>
      </w:r>
      <w:r>
        <w:t xml:space="preserve"> an BSI ergänzen (sofern noch nicht abgesetzt).</w:t>
      </w:r>
    </w:p>
    <w:p>
      <w:pPr>
        <w:pStyle w:val="ListNumber"/>
      </w:pPr>
      <w:r>
        <w:t>Versicherung (Cyber-Police) informieren — Frist je Police prüfen, oft 48 Stunden.</w:t>
      </w:r>
    </w:p>
    <w:p>
      <w:pPr>
        <w:pStyle w:val="ListNumber"/>
      </w:pPr>
      <w:r>
        <w:t>Bei betroffenen Geschäftspartnern: vertragliche Informationspflichten (AVV, B2B-Verträge) auswerten.</w:t>
      </w:r>
    </w:p>
    <w:p>
      <w:pPr>
        <w:pStyle w:val="ListNumber"/>
      </w:pPr>
      <w:r>
        <w:t>Beschäftigtenkommunikation: kurze, sachliche Mitteilung; Hinweis auf Mitwirkungspflichten und Pressekontakt-Verbot.</w:t>
      </w:r>
    </w:p>
    <w:p>
      <w:pPr>
        <w:pStyle w:val="Heading2"/>
      </w:pPr>
      <w:r>
        <w:rPr>
          <w:rFonts w:ascii="Times New Roman" w:hAnsi="Times New Roman"/>
        </w:rPr>
        <w:t>24-bis-72-Stunden-Checkliste</w:t>
      </w:r>
    </w:p>
    <w:p>
      <w:pPr>
        <w:pStyle w:val="ListNumber"/>
      </w:pPr>
      <w:r>
        <w:t>NIS2-</w:t>
      </w:r>
      <w:r>
        <w:rPr>
          <w:b/>
        </w:rPr>
        <w:t>Folgenotmeldung</w:t>
      </w:r>
      <w:r>
        <w:t xml:space="preserve"> mit konkretem Schadensbild.</w:t>
      </w:r>
    </w:p>
    <w:p>
      <w:pPr>
        <w:pStyle w:val="ListNumber"/>
      </w:pPr>
      <w:r>
        <w:t>Art. 33 DSGVO Meldung absetzen, sofern Erkenntnisse die Risikoeinschätzung bestätigen.</w:t>
      </w:r>
    </w:p>
    <w:p>
      <w:pPr>
        <w:pStyle w:val="ListNumber"/>
      </w:pPr>
      <w:r>
        <w:t>Bei Betroffenen-Risiko nach Art. 34 DSGVO: Benachrichtigung der Betroffenen vorbereiten.</w:t>
      </w:r>
    </w:p>
    <w:p>
      <w:pPr>
        <w:pStyle w:val="ListNumber"/>
      </w:pPr>
      <w:r>
        <w:t>Externer Krisenkommunikator (auf Bereitschaft) erstellt Q&amp;A für Presse und Vertrieb.</w:t>
      </w:r>
    </w:p>
    <w:p>
      <w:pPr>
        <w:pStyle w:val="ListNumber"/>
      </w:pPr>
      <w:r>
        <w:t>Aufsichtsrat informieren (gemäß § 90 AktG, soweit konzernrechtlich einschlägig — Stahlring AG als Eigentümerin).</w:t>
      </w:r>
    </w:p>
    <w:p>
      <w:pPr>
        <w:pStyle w:val="Heading2"/>
      </w:pPr>
      <w:r>
        <w:rPr>
          <w:rFonts w:ascii="Times New Roman" w:hAnsi="Times New Roman"/>
        </w:rPr>
        <w:t>Nach Abschluss</w:t>
      </w:r>
    </w:p>
    <w:p>
      <w:pPr>
        <w:pStyle w:val="ListBullet"/>
      </w:pPr>
      <w:r>
        <w:t>Vollständige Schlussmeldung an BSI gemäß NIS2-Vorgaben.</w:t>
      </w:r>
    </w:p>
    <w:p>
      <w:pPr>
        <w:pStyle w:val="ListBullet"/>
      </w:pPr>
      <w:r>
        <w:t>Lessons-Learned-Workshop binnen 4 Wochen.</w:t>
      </w:r>
    </w:p>
    <w:p>
      <w:pPr>
        <w:pStyle w:val="ListBullet"/>
      </w:pPr>
      <w:r>
        <w:t>Anpassung dieses Runbooks; Versionierung mit Datum und Verantwortlichem im Krisenstabsraum.</w:t>
      </w:r>
    </w:p>
    <w:sectPr w:rsidR="00FC693F" w:rsidRPr="0006063C" w:rsidSect="00034616">
      <w:pgSz w:w="11906" w:h="16838"/>
      <w:pgMar w:top="1417" w:right="1417" w:bottom="1417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Times New Roman" w:hAnsi="Times New Roman"/>
      <w:b/>
      <w:bCs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Times New Roman" w:hAnsi="Times New Roman"/>
      <w:b/>
      <w:bCs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Times New Roman" w:hAnsi="Times New Roman"/>
      <w:b/>
      <w:bCs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