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Java / PKI — Zertifikatsnotiz und Risikobewertung</w:t>
      </w:r>
    </w:p>
    <w:p>
      <w:pPr>
        <w:pStyle w:val="Heading2"/>
      </w:pPr>
      <w:r>
        <w:rPr>
          <w:rFonts w:ascii="Times New Roman" w:hAnsi="Times New Roman"/>
        </w:rPr>
        <w:t>Tatsache</w:t>
      </w:r>
    </w:p>
    <w:p>
      <w:pPr>
        <w:jc w:val="left"/>
      </w:pPr>
      <w:r>
        <w:t xml:space="preserve">Das </w:t>
      </w:r>
      <w:r>
        <w:rPr>
          <w:b/>
        </w:rPr>
        <w:t>Code-Signing-Zertifikat</w:t>
      </w:r>
      <w:r>
        <w:t xml:space="preserve"> für die Java-Build-Pipeline der Lahnwerke-Produktfirmware läuft am </w:t>
      </w:r>
      <w:r>
        <w:rPr>
          <w:b/>
        </w:rPr>
        <w:t>09.07.2026</w:t>
      </w:r>
      <w:r>
        <w:t xml:space="preserve"> ab. Der Keystore mit dem privaten Schlüssel liegt nach Auskunft des Engineering-Teams aktuell </w:t>
      </w:r>
      <w:r>
        <w:rPr>
          <w:b/>
        </w:rPr>
        <w:t>auf einem CI/CD-Runner-Volume</w:t>
      </w:r>
      <w:r>
        <w:t xml:space="preserve"> in einem Azure-DevOps-Pool, eingebunden als Persistent Volume (PV). Der </w:t>
      </w:r>
      <w:r>
        <w:rPr>
          <w:b/>
        </w:rPr>
        <w:t>HSM-Einsatz</w:t>
      </w:r>
      <w:r>
        <w:t xml:space="preserve"> (Hardware Security Module) war im IT-Budget 2025 bereits eingeplant, wurde aber nie beauftragt — die Beschaffung scheiterte mehrfach an der Klärung der Verantwortlichkeit zwischen IT und Produktentwicklung. Der </w:t>
      </w:r>
      <w:r>
        <w:rPr>
          <w:b/>
        </w:rPr>
        <w:t>Release 4.8</w:t>
      </w:r>
      <w:r>
        <w:t xml:space="preserve"> der Produktfirmware (geplant für 18.06.2026) hängt direkt am Zertifikat: Ohne gültige Signatur akzeptieren weder Engineering-Hosts noch Kundenanlagen die neue Firmware.</w:t>
      </w:r>
    </w:p>
    <w:p>
      <w:pPr>
        <w:pStyle w:val="Heading2"/>
      </w:pPr>
      <w:r>
        <w:rPr>
          <w:rFonts w:ascii="Times New Roman" w:hAnsi="Times New Roman"/>
        </w:rPr>
        <w:t>Identifizierte Risiken</w:t>
      </w:r>
    </w:p>
    <w:p>
      <w:pPr>
        <w:pStyle w:val="Heading3"/>
      </w:pPr>
      <w:r>
        <w:rPr>
          <w:rFonts w:ascii="Times New Roman" w:hAnsi="Times New Roman"/>
        </w:rPr>
        <w:t>1. Ablaufrisiko Zertifikat (Compliance / Operations)</w:t>
      </w:r>
    </w:p>
    <w:p>
      <w:pPr>
        <w:pStyle w:val="ListBullet"/>
      </w:pPr>
      <w:r>
        <w:t xml:space="preserve">Ohne rechtzeitige Erneuerung </w:t>
      </w:r>
      <w:r>
        <w:rPr>
          <w:b/>
        </w:rPr>
        <w:t>wird Release 4.8 nicht ausgespielt werden können</w:t>
      </w:r>
      <w:r>
        <w:t>.</w:t>
      </w:r>
    </w:p>
    <w:p>
      <w:pPr>
        <w:pStyle w:val="ListBullet"/>
      </w:pPr>
      <w:r>
        <w:t>Bei Lieferverzug an Kunden mit vertraglich vereinbartem Release-Datum: Vertragsstrafenrisiko nach VOB-/Werk-/Liefervertragsklauseln; betroffen sind insbesondere die Kunden "Stahlring AG" (interner Konzernkunde) und "MARSEN GmbH" (Verzug-Pönale 5.000 EUR/Werktag).</w:t>
      </w:r>
    </w:p>
    <w:p>
      <w:pPr>
        <w:pStyle w:val="ListBullet"/>
      </w:pPr>
      <w:r>
        <w:t>Bei nicht-signierten Notfall-Hotfixes: Eskalation in Kundeneinsatz.</w:t>
      </w:r>
    </w:p>
    <w:p>
      <w:pPr>
        <w:pStyle w:val="Heading3"/>
      </w:pPr>
      <w:r>
        <w:rPr>
          <w:rFonts w:ascii="Times New Roman" w:hAnsi="Times New Roman"/>
        </w:rPr>
        <w:t>2. Keystore-Lokalisierung (IT-Sicherheit)</w:t>
      </w:r>
    </w:p>
    <w:p>
      <w:pPr>
        <w:pStyle w:val="ListBullet"/>
      </w:pPr>
      <w:r>
        <w:t xml:space="preserve">Der </w:t>
      </w:r>
      <w:r>
        <w:rPr>
          <w:b/>
        </w:rPr>
        <w:t>Keystore auf einem Runner-Volume</w:t>
      </w:r>
      <w:r>
        <w:t xml:space="preserve"> widerspricht den allgemeinen Empfehlungen des BSI (BSI TR-03145) und der NIST SP 800-57. Korrekte Aufbewahrung wäre in einem HSM oder mindestens in einem dedizierten Vault mit Hardware-Bindung.</w:t>
      </w:r>
    </w:p>
    <w:p>
      <w:pPr>
        <w:pStyle w:val="ListBullet"/>
      </w:pPr>
      <w:r>
        <w:t>Bei Kompromittierung des Runner-Volumes (etwa durch Diebstahl der CI-Pipeline-Credentials, kompromittierte Build-Skripte oder Insider-Zugriffe) wäre der private Schlüssel exfiltrierbar.</w:t>
      </w:r>
    </w:p>
    <w:p>
      <w:pPr>
        <w:pStyle w:val="ListBullet"/>
      </w:pPr>
      <w:r>
        <w:t xml:space="preserve">Anschließende Schadenswirkung: Angreifer könnte beliebige Firmware signieren und in die Lahnwerke-Produktbasis einspeisen — </w:t>
      </w:r>
      <w:r>
        <w:rPr>
          <w:b/>
        </w:rPr>
        <w:t>Lieferkettenangriff-Szenario</w:t>
      </w:r>
      <w:r>
        <w:t xml:space="preserve"> (z. B. SolarWinds-Typ).</w:t>
      </w:r>
    </w:p>
    <w:p>
      <w:pPr>
        <w:pStyle w:val="ListBullet"/>
      </w:pPr>
      <w:r>
        <w:t>Diese Risikolage ist im Sinne der NIS2-Richtlinie (Art. 21 NIS2 iVm § 30 BSIG) ein "Cybersicherheitsrisiko, das angemessenes Risikomanagement erfordert" und unterliegt der Verantwortung der Geschäftsleitung.</w:t>
      </w:r>
    </w:p>
    <w:p>
      <w:pPr>
        <w:pStyle w:val="Heading3"/>
      </w:pPr>
      <w:r>
        <w:rPr>
          <w:rFonts w:ascii="Times New Roman" w:hAnsi="Times New Roman"/>
        </w:rPr>
        <w:t>3. Versäumte HSM-Beschaffung (Compliance Governance)</w:t>
      </w:r>
    </w:p>
    <w:p>
      <w:pPr>
        <w:pStyle w:val="ListBullet"/>
      </w:pPr>
      <w:r>
        <w:t>HSM war 2025 budgetiert (intern Position "IT-Hardware 2025-IT-077"), wurde aber nie beschafft.</w:t>
      </w:r>
    </w:p>
    <w:p>
      <w:pPr>
        <w:pStyle w:val="ListBullet"/>
      </w:pPr>
      <w:r>
        <w:t>Verantwortlich für die nicht-Beschaffung: ungeklärte Schnittstelle zwischen IT-Operations und Produktentwicklung; faktisch niemand.</w:t>
      </w:r>
    </w:p>
    <w:p>
      <w:pPr>
        <w:pStyle w:val="ListBullet"/>
      </w:pPr>
      <w:r>
        <w:t xml:space="preserve">Geschäftsleitung muss </w:t>
      </w:r>
      <w:r>
        <w:rPr>
          <w:b/>
        </w:rPr>
        <w:t>dokumentieren</w:t>
      </w:r>
      <w:r>
        <w:t>, warum die Risikoreduzierungsmaßnahme nicht umgesetzt wurde, und welche kompensierenden Maßnahmen ergriffen wurden. Bei späterem Sicherheitsvorfall ist diese Dokumentation für die Frage der Geschäftsleiterhaftung (§ 91 Abs. 2 AktG; § 43 GmbHG) und Compliance-Pflicht entscheidend.</w:t>
      </w:r>
    </w:p>
    <w:p>
      <w:pPr>
        <w:pStyle w:val="Heading2"/>
      </w:pPr>
      <w:r>
        <w:rPr>
          <w:rFonts w:ascii="Times New Roman" w:hAnsi="Times New Roman"/>
        </w:rPr>
        <w:t>Sofortmaßnahmen (heute)</w:t>
      </w:r>
    </w:p>
    <w:p>
      <w:pPr>
        <w:pStyle w:val="Heading3"/>
      </w:pPr>
      <w:r>
        <w:rPr>
          <w:rFonts w:ascii="Times New Roman" w:hAnsi="Times New Roman"/>
        </w:rPr>
        <w:t>Operations (24-48 Stunden)</w:t>
      </w:r>
    </w:p>
    <w:p>
      <w:pPr>
        <w:pStyle w:val="ListNumber"/>
      </w:pPr>
      <w:r>
        <w:rPr>
          <w:b/>
        </w:rPr>
        <w:t>Beschaffung eines Cloud-HSM</w:t>
      </w:r>
      <w:r>
        <w:t xml:space="preserve"> (z. B. Azure Key Vault Premium mit FIPS-140-2 Level 2 HSM, oder AWS CloudHSM) — schnellste Option, ohne Wartezeit auf physisches HSM.</w:t>
      </w:r>
    </w:p>
    <w:p>
      <w:pPr>
        <w:pStyle w:val="ListNumber"/>
      </w:pPr>
      <w:r>
        <w:rPr>
          <w:b/>
        </w:rPr>
        <w:t>Schlüsselrotation</w:t>
      </w:r>
      <w:r>
        <w:t>: Neuen Schlüssel im HSM erzeugen, neues Zertifikat bei der CA beantragen, alte Build-Pipeline auf neuen Schlüssel umstellen.</w:t>
      </w:r>
    </w:p>
    <w:p>
      <w:pPr>
        <w:pStyle w:val="ListNumber"/>
      </w:pPr>
      <w:r>
        <w:rPr>
          <w:b/>
        </w:rPr>
        <w:t>Runner-Volume bereinigen</w:t>
      </w:r>
      <w:r>
        <w:t>: privaten Schlüssel löschen, Audit-Log sichern.</w:t>
      </w:r>
    </w:p>
    <w:p>
      <w:pPr>
        <w:pStyle w:val="Heading3"/>
      </w:pPr>
      <w:r>
        <w:rPr>
          <w:rFonts w:ascii="Times New Roman" w:hAnsi="Times New Roman"/>
        </w:rPr>
        <w:t>Compliance (1 Woche)</w:t>
      </w:r>
    </w:p>
    <w:p>
      <w:pPr>
        <w:pStyle w:val="ListNumber"/>
      </w:pPr>
      <w:r>
        <w:rPr>
          <w:b/>
        </w:rPr>
        <w:t>Risikoregister-Eintrag</w:t>
      </w:r>
      <w:r>
        <w:t>: aktuelles Risiko vollständig dokumentieren mit Schadenshöhe, Eintrittswahrscheinlichkeit, Mitigationsstatus.</w:t>
      </w:r>
    </w:p>
    <w:p>
      <w:pPr>
        <w:pStyle w:val="ListNumber"/>
      </w:pPr>
      <w:r>
        <w:rPr>
          <w:b/>
        </w:rPr>
        <w:t>Geschäftsleitungs-Information</w:t>
      </w:r>
      <w:r>
        <w:t>: Memo mit Risiko, Maßnahme, Restrisiko zur Kenntnisnahme.</w:t>
      </w:r>
    </w:p>
    <w:p>
      <w:pPr>
        <w:pStyle w:val="ListNumber"/>
      </w:pPr>
      <w:r>
        <w:rPr>
          <w:b/>
        </w:rPr>
        <w:t>NIS2-Pflichtenprüfung</w:t>
      </w:r>
      <w:r>
        <w:t xml:space="preserve">: Klären, ob das vorhandene Risiko ein "wesentlicher Sicherheitsvorfall" iSv § 32 BSIG (Umsetzung NIS2) wäre und ob Meldepflicht besteht. </w:t>
      </w:r>
      <w:r>
        <w:rPr>
          <w:b/>
        </w:rPr>
        <w:t>Vorab</w:t>
      </w:r>
      <w:r>
        <w:t>: derzeit kein Sicherheitsvorfall, sondern erkanntes Risiko — keine Meldepflicht; aber Dokumentationspflicht.</w:t>
      </w:r>
    </w:p>
    <w:p>
      <w:pPr>
        <w:pStyle w:val="Heading3"/>
      </w:pPr>
      <w:r>
        <w:rPr>
          <w:rFonts w:ascii="Times New Roman" w:hAnsi="Times New Roman"/>
        </w:rPr>
        <w:t>Strategie (4 Wochen)</w:t>
      </w:r>
    </w:p>
    <w:p>
      <w:pPr>
        <w:pStyle w:val="ListNumber"/>
      </w:pPr>
      <w:r>
        <w:rPr>
          <w:b/>
        </w:rPr>
        <w:t>Physisches HSM</w:t>
      </w:r>
      <w:r>
        <w:t xml:space="preserve"> beschaffen für langfristigen Einsatz (Nitrokey HSM oder Yubico YubiHSM; alternativ Thales nShield für Enterprise).</w:t>
      </w:r>
    </w:p>
    <w:p>
      <w:pPr>
        <w:pStyle w:val="ListNumber"/>
      </w:pPr>
      <w:r>
        <w:rPr>
          <w:b/>
        </w:rPr>
        <w:t>Verantwortlichkeits-Matrix</w:t>
      </w:r>
      <w:r>
        <w:t xml:space="preserve"> zwischen IT-Ops und Produktentwicklung neu definieren — wer ist für CI/CD-Sicherheit ressortverantwortlich.</w:t>
      </w:r>
    </w:p>
    <w:p>
      <w:pPr>
        <w:pStyle w:val="ListNumber"/>
      </w:pPr>
      <w:r>
        <w:rPr>
          <w:b/>
        </w:rPr>
        <w:t>Audit der gesamten CI/CD-Pipeline</w:t>
      </w:r>
      <w:r>
        <w:t>: weitere Geheimnisse (Secrets, Tokens, Zertifikate) lokalisieren und in den Vault verlagern.</w:t>
      </w:r>
    </w:p>
    <w:p>
      <w:pPr>
        <w:pStyle w:val="Heading2"/>
      </w:pPr>
      <w:r>
        <w:rPr>
          <w:rFonts w:ascii="Times New Roman" w:hAnsi="Times New Roman"/>
        </w:rPr>
        <w:t>NIS2-Relevanz</w:t>
      </w:r>
    </w:p>
    <w:p>
      <w:pPr>
        <w:pStyle w:val="ListBullet"/>
      </w:pPr>
      <w:r>
        <w:rPr>
          <w:b/>
        </w:rPr>
        <w:t>Art. 21 NIS2</w:t>
      </w:r>
      <w:r>
        <w:t xml:space="preserve"> (Maßnahmen für Cybersecurity-Risikomanagement): Kryptografie, Zugangskontrolle, Lieferkettenschutz sind Pflichtmaßnahmen.</w:t>
      </w:r>
    </w:p>
    <w:p>
      <w:pPr>
        <w:pStyle w:val="ListBullet"/>
      </w:pPr>
      <w:r>
        <w:rPr>
          <w:b/>
        </w:rPr>
        <w:t>Geschäftsleitungs-Pflichten</w:t>
      </w:r>
      <w:r>
        <w:t xml:space="preserve"> Art. 20 NIS2 (in deutscher Umsetzung § 35 BSIG): Geschäftsleitung muss "die getroffenen Maßnahmen genehmigen, deren Umsetzung beaufsichtigen und kann persönlich haftbar werden, wenn sie ihre Pflichten verletzt".</w:t>
      </w:r>
    </w:p>
    <w:p>
      <w:pPr>
        <w:pStyle w:val="ListBullet"/>
      </w:pPr>
      <w:r>
        <w:t>Bei einem späteren Vorfall, der auf den hier dokumentierten Mangel zurückgeht, wäre die Frage zu beantworten: warum wurde das Risiko nicht behoben?</w:t>
      </w:r>
    </w:p>
    <w:p>
      <w:pPr>
        <w:pStyle w:val="Heading2"/>
      </w:pPr>
      <w:r>
        <w:rPr>
          <w:rFonts w:ascii="Times New Roman" w:hAnsi="Times New Roman"/>
        </w:rPr>
        <w:t>Verantwortlichkeiten</w:t>
      </w:r>
    </w:p>
    <w:p>
      <w:pPr>
        <w:pStyle w:val="ListBullet"/>
      </w:pPr>
      <w:r>
        <w:rPr>
          <w:b/>
        </w:rPr>
        <w:t>CISO</w:t>
      </w:r>
      <w:r>
        <w:t>: heute Risikoregister aktualisieren, Cloud-HSM-Beschaffung anstoßen.</w:t>
      </w:r>
    </w:p>
    <w:p>
      <w:pPr>
        <w:pStyle w:val="ListBullet"/>
      </w:pPr>
      <w:r>
        <w:rPr>
          <w:b/>
        </w:rPr>
        <w:t>IT-Operations</w:t>
      </w:r>
      <w:r>
        <w:t>: Schlüsselrotation operationell vorbereiten.</w:t>
      </w:r>
    </w:p>
    <w:p>
      <w:pPr>
        <w:pStyle w:val="ListBullet"/>
      </w:pPr>
      <w:r>
        <w:rPr>
          <w:b/>
        </w:rPr>
        <w:t>Geschäftsleitung</w:t>
      </w:r>
      <w:r>
        <w:t>: Memo bis 06.06.2026 zur Kenntnisnahme; Freigabe Beschaffung.</w:t>
      </w:r>
    </w:p>
    <w:p>
      <w:pPr>
        <w:pStyle w:val="ListBullet"/>
      </w:pPr>
      <w:r>
        <w:rPr>
          <w:b/>
        </w:rPr>
        <w:t>Externe Beratung</w:t>
      </w:r>
      <w:r>
        <w:t>: Spezialfrage Schlüsselverwaltung in CI/CD-Pipelines an Beratung Klein+Steinberg (vorgesehen).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