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BMJ-Ressortbegruendung (Auszug der Allgemeinen Begründung)</w:t>
      </w:r>
    </w:p>
    <w:p>
      <w:pPr>
        <w:jc w:val="left"/>
      </w:pPr>
      <w:r>
        <w:rPr>
          <w:b/>
        </w:rPr>
        <w:t>Quelle:</w:t>
      </w:r>
      <w:r>
        <w:t xml:space="preserve"> Begründungsteil A der BMJ-Referentenentwurfsvorlage vom 14.04.2026</w:t>
      </w:r>
    </w:p>
    <w:p>
      <w:pPr>
        <w:pStyle w:val="Heading2"/>
      </w:pPr>
      <w:r>
        <w:rPr>
          <w:rFonts w:ascii="Times New Roman" w:hAnsi="Times New Roman"/>
        </w:rPr>
        <w:t>A. Problem und Ziel (BMJ-Originalwortlaut, gekürzt)</w:t>
      </w:r>
    </w:p>
    <w:p>
      <w:pPr>
        <w:ind w:left="567"/>
      </w:pPr>
      <w:r>
        <w:rPr>
          <w:i/>
        </w:rPr>
        <w:t>"Im gerichtlichen Verfahren scheitert die Zustellung an im Handelsregister eingetragene Gesellschaften (im Folgenden: Handelsregister-Gesellschaften) zunehmend an unzureichend oder nicht aktualisierten Anschriften, abgeschalteten Geschäftsadressen sowie überlangen Zustellungsversuchen über das Ausland. Statistisch dauern Zustellungen an deutsche Gesellschaften im Schnitt 28 Tage, an ausländische 87 Tage."</w:t>
      </w:r>
    </w:p>
    <w:p>
      <w:pPr>
        <w:ind w:left="567"/>
      </w:pPr>
    </w:p>
    <w:p>
      <w:pPr>
        <w:ind w:left="567"/>
      </w:pPr>
      <w:r>
        <w:rPr>
          <w:i/>
        </w:rPr>
        <w:t>"Diese Verzögerungen blockieren die Justiz, mindern die Effektivität zivilgerichtlichen Rechtsschutzes und schaden dem Wirtschaftsstandort Deutschland. Es ist daher erforderlich, jede Handelsregister-Gesellschaft zu verpflichten, einen elektronischen Zustellungs-Kanal vorzuhalten."</w:t>
      </w:r>
    </w:p>
    <w:p>
      <w:pPr>
        <w:pStyle w:val="Heading2"/>
      </w:pPr>
      <w:r>
        <w:rPr>
          <w:rFonts w:ascii="Times New Roman" w:hAnsi="Times New Roman"/>
        </w:rPr>
        <w:t>B. Lösung (BMJ-Originalwortlaut)</w:t>
      </w:r>
    </w:p>
    <w:p>
      <w:pPr>
        <w:ind w:left="567"/>
      </w:pPr>
      <w:r>
        <w:rPr>
          <w:i/>
        </w:rPr>
        <w:t>"Das ElErrHandRegG verpflichtet alle Handelsregister-Gesellschaften, einen elektronischen Zustellungs-Kanal vorzuhalten (§ 1). Die Gesellschaften können zwischen drei technischen Standards wählen (§ 3), um Marktoffenheit und Wettbewerb der Anbieter zu erhalten. Eine monatliche Lebensbescheid-Pflicht (§ 4) stellt die Funktionsfähigkeit sicher."</w:t>
      </w:r>
    </w:p>
    <w:p>
      <w:pPr>
        <w:pStyle w:val="Heading2"/>
      </w:pPr>
      <w:r>
        <w:rPr>
          <w:rFonts w:ascii="Times New Roman" w:hAnsi="Times New Roman"/>
        </w:rPr>
        <w:t>C. Alternativen (BMJ-Originalwortlaut)</w:t>
      </w:r>
    </w:p>
    <w:p>
      <w:pPr>
        <w:ind w:left="567"/>
      </w:pPr>
      <w:r>
        <w:rPr>
          <w:i/>
        </w:rPr>
        <w:t>"Eine zentrale Lösung über die Bundesdruckerei oder über das Bundesjustizamt wäre technisch möglich, würde aber die Markt- und Wettbewerbssituation der Anbieter elektronischer Postfach-Lösungen unangemessen verzerren. Eine freiwillige Lösung wurde geprüft, aber als nicht zielführend verworfen."</w:t>
      </w:r>
    </w:p>
    <w:p>
      <w:pPr>
        <w:pStyle w:val="Heading2"/>
      </w:pPr>
      <w:r>
        <w:rPr>
          <w:rFonts w:ascii="Times New Roman" w:hAnsi="Times New Roman"/>
        </w:rPr>
        <w:t>D. NKR-Kritik der Ressortbegruendung (Pre-Analyse Stadelheim-Bechler)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BMJ-Aussage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NKR-Kritikpunkt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"Statistisch dauern Zustellungen an deutsche Gesellschaften im Schnitt 28 Tage"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Quelle nicht genannt; nicht plausibilisiert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"An ausländische 87 Tage"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Plausibel; aber Lösung dafür (§ 5 Inlandsvertreter) bleibt unklar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"Drei technische Standards erhalten Wettbewerb"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Erzeugen aber Interoperabilitätsproblem; Wettbewerb der Anbieter ist Sekundärargument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"Monatliche Lebensbescheid stellt Funktionsfähigkeit sicher"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Vierteljährlich oder bei Anlass reicht; </w:t>
            </w:r>
            <w:r>
              <w:rPr>
                <w:rFonts w:ascii="Times New Roman" w:hAnsi="Times New Roman"/>
                <w:b/>
                <w:sz w:val="20"/>
              </w:rPr>
              <w:t>automatisches Heartbeat-Verfahren</w:t>
            </w:r>
            <w:r>
              <w:rPr>
                <w:rFonts w:ascii="Times New Roman" w:hAnsi="Times New Roman"/>
                <w:sz w:val="20"/>
              </w:rPr>
              <w:t xml:space="preserve"> wäre besser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"Zentrale Lösung würde Wettbewerb verzerren"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Im Justiz-Bereich ist Marktwettbewerb kein anerkannter Schutzzweck. Justiz-Infrastruktur ist Staatsaufgabe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"Freiwillige Lösung als nicht zielführend verworfen"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 näher begründet; Trade-off-Vergleich fehlt</w:t>
            </w:r>
          </w:p>
        </w:tc>
      </w:tr>
    </w:tbl>
    <w:p>
      <w:pPr>
        <w:jc w:val="left"/>
      </w:pPr>
      <w:r>
        <w:rPr>
          <w:b/>
        </w:rPr>
        <w:t>Befund:</w:t>
      </w:r>
      <w:r>
        <w:t xml:space="preserve"> Die Ressortbegruendung </w:t>
      </w:r>
      <w:r>
        <w:rPr>
          <w:b/>
        </w:rPr>
        <w:t>erkennt das Problem zutreffend</w:t>
      </w:r>
      <w:r>
        <w:t>, schlägt aber ohne Alternativen-Vergleich und ohne KMU-Bewertung die komplexeste der drei denkbaren Lösungen vor.</w:t>
      </w:r>
    </w:p>
    <w:p>
      <w:pPr>
        <w:pStyle w:val="Heading2"/>
      </w:pPr>
      <w:r>
        <w:rPr>
          <w:rFonts w:ascii="Times New Roman" w:hAnsi="Times New Roman"/>
        </w:rPr>
        <w:t>E. Fragen an das BMJ (NKR-Rückfrage 22.04.2026)</w:t>
      </w:r>
    </w:p>
    <w:p>
      <w:pPr>
        <w:pStyle w:val="ListNumber"/>
      </w:pPr>
      <w:r>
        <w:t>Quellenangabe für "28 Tage / 87 Tage" — bitte nachreichen.</w:t>
      </w:r>
    </w:p>
    <w:p>
      <w:pPr>
        <w:pStyle w:val="ListNumber"/>
      </w:pPr>
      <w:r>
        <w:t>Begründung für den Vorrang Marktwettbewerb gegenüber einer effizienten zentralen Lösung.</w:t>
      </w:r>
    </w:p>
    <w:p>
      <w:pPr>
        <w:pStyle w:val="ListNumber"/>
      </w:pPr>
      <w:r>
        <w:t>Warum monatlich? Wurde quartalsweise / jährlich geprüft?</w:t>
      </w:r>
    </w:p>
    <w:p>
      <w:pPr>
        <w:pStyle w:val="ListNumber"/>
      </w:pPr>
      <w:r>
        <w:t>Wie hängt das Vorhaben mit OZG 2.0 zusammen?</w:t>
      </w:r>
    </w:p>
    <w:p>
      <w:pPr>
        <w:pStyle w:val="ListNumber"/>
      </w:pPr>
      <w:r>
        <w:t>Verhältnis zu Brüssel-Ia-VO Art. 64 bei EU-Gesellschaften?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