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Erforderlichkeitspruefung — Warum überhaupt regeln</w:t>
      </w:r>
    </w:p>
    <w:p>
      <w:pPr>
        <w:jc w:val="left"/>
      </w:pPr>
      <w:r>
        <w:rPr>
          <w:b/>
        </w:rPr>
        <w:t>NKR-Pruefungs-Standpunkt:</w:t>
      </w:r>
      <w:r>
        <w:t xml:space="preserve"> "Wenn nicht nötig, dann nicht regeln" — aber hier ist Regulierung </w:t>
      </w:r>
      <w:r>
        <w:rPr>
          <w:b/>
        </w:rPr>
        <w:t>nötig</w:t>
      </w:r>
      <w:r>
        <w:t>, weil...</w:t>
      </w:r>
    </w:p>
    <w:p>
      <w:pPr>
        <w:pStyle w:val="Heading2"/>
      </w:pPr>
      <w:r>
        <w:rPr>
          <w:rFonts w:ascii="Times New Roman" w:hAnsi="Times New Roman"/>
        </w:rPr>
        <w:t>1. Problem-Beschreibung (NKR-bestätigt)</w:t>
      </w:r>
    </w:p>
    <w:p>
      <w:pPr>
        <w:jc w:val="left"/>
      </w:pPr>
      <w:r>
        <w:t>Drei reale, in der Justizpraxis dokumentierte Probleme: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Quelle/Indikator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Anschriften im HR veraltet, Geschäftsadressen abgeschaltet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Klagen erreichen Beklagte nicht, Versäumnisurteile wackeln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Dt. Richterbund-Stellungnahme 2025 (verifizieren)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Auslandszustellung dauert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Überlanges Verfahren, EMRK Art. 6 Abs. 1 Sorge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EuGH-Linie zur Verfahrensdauer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Inlandsvertreter fehlen bei ausländischen Niederlassungen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werden im Inland faktisch unmöglich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Statistik BFH/BGH (verifizieren)</w:t>
            </w:r>
          </w:p>
        </w:tc>
      </w:tr>
    </w:tbl>
    <w:p>
      <w:pPr>
        <w:jc w:val="left"/>
      </w:pPr>
      <w:r>
        <w:rPr>
          <w:b/>
        </w:rPr>
        <w:t>NKR-Bewertung:</w:t>
      </w:r>
      <w:r>
        <w:t xml:space="preserve"> Problem ist </w:t>
      </w:r>
      <w:r>
        <w:rPr>
          <w:b/>
        </w:rPr>
        <w:t>real und gewichtig</w:t>
      </w:r>
      <w:r>
        <w:t>. Regulierungsbedarf gegeben.</w:t>
      </w:r>
    </w:p>
    <w:p>
      <w:pPr>
        <w:pStyle w:val="Heading2"/>
      </w:pPr>
      <w:r>
        <w:rPr>
          <w:rFonts w:ascii="Times New Roman" w:hAnsi="Times New Roman"/>
        </w:rPr>
        <w:t>2. Subsidiarität — gibt es weniger eingreifende Lösungen?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Alternative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Eingriffsstärke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NKR-Bewertung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Freiwillige Einrichtung mit Anreiz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zielführend — KMU partizipieren nicht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Selbstverpflichtung der Wirtschaftsverbände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wirkungslos — Verbände können Mitglieder nicht zwingen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Verschärfung der bestehenden HR-Aktualisierungspflicht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greift nicht, weil Postanschrift gerade nicht das Problem 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zur elektronischen Erreichbarkeit (BMJ-Entwurf)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grundsätzlich geeignet, </w:t>
            </w:r>
            <w:r>
              <w:rPr>
                <w:rFonts w:ascii="Times New Roman" w:hAnsi="Times New Roman"/>
                <w:b/>
                <w:sz w:val="20"/>
              </w:rPr>
              <w:t>aber Ausgestaltung 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Zentrale Bundes-Lese-Plattform statt drei Mailbox-Standards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hoch, aber konzentriert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NKR-präferierte Lösung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Verhaeltnismaessigkeit i.e.S. (NKR-Prüfraster)</w:t>
      </w:r>
    </w:p>
    <w:p>
      <w:pPr>
        <w:pStyle w:val="ListBullet"/>
      </w:pPr>
      <w:r>
        <w:rPr>
          <w:b/>
        </w:rPr>
        <w:t>Geeignetheit</w:t>
      </w:r>
      <w:r>
        <w:t>: ja, ein elektronischer Kanal löst das Zustellungs-Problem.</w:t>
      </w:r>
    </w:p>
    <w:p>
      <w:pPr>
        <w:pStyle w:val="ListBullet"/>
      </w:pPr>
      <w:r>
        <w:rPr>
          <w:b/>
        </w:rPr>
        <w:t>Erforderlichkeit</w:t>
      </w:r>
      <w:r>
        <w:t>: ja, mildere Mittel sind nicht zielführend.</w:t>
      </w:r>
    </w:p>
    <w:p>
      <w:pPr>
        <w:pStyle w:val="ListBullet"/>
      </w:pPr>
      <w:r>
        <w:rPr>
          <w:b/>
        </w:rPr>
        <w:t>Angemessenheit</w:t>
      </w:r>
      <w:r>
        <w:t xml:space="preserve">: </w:t>
      </w:r>
      <w:r>
        <w:rPr>
          <w:b/>
        </w:rPr>
        <w:t>kritisch</w:t>
      </w:r>
      <w:r>
        <w:t xml:space="preserve">. Die im Entwurf gewählte Ausgestaltung mit drei Standards + monatlichem Lebensbescheid + 50.000-EUR-Zwangsgeld + Loeschungsmoeglichkeit ist </w:t>
      </w:r>
      <w:r>
        <w:rPr>
          <w:b/>
        </w:rPr>
        <w:t>unangemessen schwer</w:t>
      </w:r>
      <w:r>
        <w:t>. Eine weniger belastende, ebenfalls effektive Lösung ist verfügbar.</w:t>
      </w:r>
    </w:p>
    <w:p>
      <w:pPr>
        <w:pStyle w:val="Heading2"/>
      </w:pPr>
      <w:r>
        <w:rPr>
          <w:rFonts w:ascii="Times New Roman" w:hAnsi="Times New Roman"/>
        </w:rPr>
        <w:t>4. Zwischenergebnis NKR</w:t>
      </w:r>
    </w:p>
    <w:p>
      <w:pPr>
        <w:ind w:left="567"/>
      </w:pPr>
      <w:r>
        <w:rPr>
          <w:i/>
        </w:rPr>
        <w:t xml:space="preserve">Das Vorhaben ist </w:t>
      </w:r>
      <w:r>
        <w:rPr>
          <w:b/>
          <w:i/>
        </w:rPr>
        <w:t>erforderlich</w:t>
      </w:r>
      <w:r>
        <w:rPr>
          <w:i/>
        </w:rPr>
        <w:t xml:space="preserve">. Die im Referentenentwurf gewählte Ausgestaltung ist jedoch </w:t>
      </w:r>
      <w:r>
        <w:rPr>
          <w:b/>
          <w:i/>
        </w:rPr>
        <w:t>nicht angemessen</w:t>
      </w:r>
      <w:r>
        <w:rPr>
          <w:i/>
        </w:rPr>
        <w:t>. Der NKR empfiehlt eine zentrale, vereinheitlichte Lösung mit deutlich reduzierter Folgepflicht-Last.</w:t>
      </w:r>
    </w:p>
    <w:p>
      <w:pPr>
        <w:pStyle w:val="Heading2"/>
      </w:pPr>
      <w:r>
        <w:rPr>
          <w:rFonts w:ascii="Times New Roman" w:hAnsi="Times New Roman"/>
        </w:rPr>
        <w:t>5. Verfahrensvorschlag</w:t>
      </w:r>
    </w:p>
    <w:p>
      <w:pPr>
        <w:jc w:val="left"/>
      </w:pPr>
      <w:r>
        <w:t>Stellungnahme mit:</w:t>
      </w:r>
    </w:p>
    <w:p>
      <w:pPr>
        <w:pStyle w:val="ListBullet"/>
      </w:pPr>
      <w:r>
        <w:rPr>
          <w:b/>
        </w:rPr>
        <w:t>Befund A</w:t>
      </w:r>
      <w:r>
        <w:t xml:space="preserve"> (positive Erforderlichkeit): "Der NKR teilt die Auffassung des BMJ, dass eine Regelung der elektronischen Erreichbarkeit von Handelsregister-Gesellschaften erforderlich ist."</w:t>
      </w:r>
    </w:p>
    <w:p>
      <w:pPr>
        <w:pStyle w:val="ListBullet"/>
      </w:pPr>
      <w:r>
        <w:rPr>
          <w:b/>
        </w:rPr>
        <w:t>Befund B</w:t>
      </w:r>
      <w:r>
        <w:t xml:space="preserve"> (kritische Ausgestaltung): "Der NKR weist jedoch darauf hin, dass die im Entwurf gewählte Ausgestaltung den Erfuellungsaufwand unangemessen erhöht und Alternativen unzureichend geprüft wurden."</w:t>
      </w:r>
    </w:p>
    <w:p>
      <w:pPr>
        <w:pStyle w:val="ListBullet"/>
      </w:pPr>
      <w:r>
        <w:rPr>
          <w:b/>
        </w:rPr>
        <w:t>Konkretisierungs-Vorschlag</w:t>
      </w:r>
      <w:r>
        <w:t>: Wechsel auf zentrale Lösung mit jährlichem statt monatlichem Lebensbescheid (siehe Aktenstück 05).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