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Alternativen-Pruefung — Drei Szenarien im Vergleich</w:t>
      </w:r>
    </w:p>
    <w:p>
      <w:pPr>
        <w:pStyle w:val="Heading2"/>
      </w:pPr>
      <w:r>
        <w:rPr>
          <w:rFonts w:ascii="Times New Roman" w:hAnsi="Times New Roman"/>
        </w:rPr>
        <w:t>Szenario A — BMJ-Entwurf (dezentral, drei Standards)</w:t>
      </w:r>
    </w:p>
    <w:p>
      <w:pPr>
        <w:pStyle w:val="ListBullet"/>
      </w:pPr>
      <w:r>
        <w:rPr>
          <w:b/>
        </w:rPr>
        <w:t>Architektur:</w:t>
      </w:r>
      <w:r>
        <w:t xml:space="preserve"> Jede Gesellschaft hinterlegt elektronische Adresse beim zuständigen Amtsgericht; drei technische Standards (beA, De-Mail, eIDAS-Mailbox)</w:t>
      </w:r>
    </w:p>
    <w:p>
      <w:pPr>
        <w:pStyle w:val="ListBullet"/>
      </w:pPr>
      <w:r>
        <w:rPr>
          <w:b/>
        </w:rPr>
        <w:t>Lebensbescheid:</w:t>
      </w:r>
      <w:r>
        <w:t xml:space="preserve"> monatlich</w:t>
      </w:r>
    </w:p>
    <w:p>
      <w:pPr>
        <w:pStyle w:val="ListBullet"/>
      </w:pPr>
      <w:r>
        <w:rPr>
          <w:b/>
        </w:rPr>
        <w:t>Sanktion:</w:t>
      </w:r>
      <w:r>
        <w:t xml:space="preserve"> Zwangsgeld bis 50.000 EUR, Löschung im Wiederholungsfall</w:t>
      </w:r>
    </w:p>
    <w:p>
      <w:pPr>
        <w:pStyle w:val="ListBullet"/>
      </w:pPr>
      <w:r>
        <w:rPr>
          <w:b/>
        </w:rPr>
        <w:t>Geschätzter Erfuellungsaufwand Wirtschaft:</w:t>
      </w:r>
      <w:r>
        <w:t xml:space="preserve"> ca. </w:t>
      </w:r>
      <w:r>
        <w:rPr>
          <w:b/>
        </w:rPr>
        <w:t>320 Mio EUR p.a.</w:t>
      </w:r>
    </w:p>
    <w:p>
      <w:pPr>
        <w:pStyle w:val="ListBullet"/>
      </w:pPr>
      <w:r>
        <w:rPr>
          <w:b/>
        </w:rPr>
        <w:t>Geschätzter Erfuellungsaufwand Verwaltung:</w:t>
      </w:r>
      <w:r>
        <w:t xml:space="preserve"> ca. </w:t>
      </w:r>
      <w:r>
        <w:rPr>
          <w:b/>
        </w:rPr>
        <w:t>180 Mio EUR p.a.</w:t>
      </w:r>
    </w:p>
    <w:p>
      <w:pPr>
        <w:pStyle w:val="ListBullet"/>
      </w:pPr>
      <w:r>
        <w:rPr>
          <w:b/>
        </w:rPr>
        <w:t>Vorteil:</w:t>
      </w:r>
      <w:r>
        <w:t xml:space="preserve"> Marktoffenheit der Anbieter; flexible Wahl</w:t>
      </w:r>
    </w:p>
    <w:p>
      <w:pPr>
        <w:pStyle w:val="ListBullet"/>
      </w:pPr>
      <w:r>
        <w:rPr>
          <w:b/>
        </w:rPr>
        <w:t>Nachteil:</w:t>
      </w:r>
      <w:r>
        <w:t xml:space="preserve"> drei parallele Standards, hoher Compliance-Aufwand, Interoperabilitätsrisiken</w:t>
      </w:r>
    </w:p>
    <w:p>
      <w:pPr>
        <w:pStyle w:val="Heading2"/>
      </w:pPr>
      <w:r>
        <w:rPr>
          <w:rFonts w:ascii="Times New Roman" w:hAnsi="Times New Roman"/>
        </w:rPr>
        <w:t>Szenario B — NKR-Vorschlag (zentral, ein Standard, jährlicher Bescheid)</w:t>
      </w:r>
    </w:p>
    <w:p>
      <w:pPr>
        <w:pStyle w:val="ListBullet"/>
      </w:pPr>
      <w:r>
        <w:rPr>
          <w:b/>
        </w:rPr>
        <w:t>Architektur:</w:t>
      </w:r>
      <w:r>
        <w:t xml:space="preserve"> Das </w:t>
      </w:r>
      <w:r>
        <w:rPr>
          <w:b/>
        </w:rPr>
        <w:t>elektronische Postfach des Unternehmens</w:t>
      </w:r>
      <w:r>
        <w:t xml:space="preserve"> wird zentral beim Bundesjustizamt (BfJ) verwaltet, technisch über beA-Infrastruktur und EUDI-Wallet-kompatibel. Jede Handelsregister-Gesellschaft erhält automatisch beim Eintragungsvorgang ein elektronisches Zustellungs-Postfach. Ausländische Gesellschaften benennen einen Inlandsvertreter, dessen Postfach auf ihre HR-Eintragung verlinkt wird.</w:t>
      </w:r>
    </w:p>
    <w:p>
      <w:pPr>
        <w:pStyle w:val="ListBullet"/>
      </w:pPr>
      <w:r>
        <w:rPr>
          <w:b/>
        </w:rPr>
        <w:t>Lebensbescheid:</w:t>
      </w:r>
      <w:r>
        <w:t xml:space="preserve"> </w:t>
      </w:r>
      <w:r>
        <w:rPr>
          <w:b/>
        </w:rPr>
        <w:t>jährlich</w:t>
      </w:r>
      <w:r>
        <w:t xml:space="preserve"> mit der Bilanzpublikation kombiniert, automatisches Heartbeat-Verfahren ohne aktive Bestätigungspflicht</w:t>
      </w:r>
    </w:p>
    <w:p>
      <w:pPr>
        <w:pStyle w:val="ListBullet"/>
      </w:pPr>
      <w:r>
        <w:rPr>
          <w:b/>
        </w:rPr>
        <w:t>Sanktion:</w:t>
      </w:r>
      <w:r>
        <w:t xml:space="preserve"> Zwangsgeld bis 5.000 EUR (verhaeltnismaessig); Löschung nur bei Vollständiger Untätigkeit über zwei Jahre</w:t>
      </w:r>
    </w:p>
    <w:p>
      <w:pPr>
        <w:pStyle w:val="ListBullet"/>
      </w:pPr>
      <w:r>
        <w:rPr>
          <w:b/>
        </w:rPr>
        <w:t>Geschätzter Erfuellungsaufwand Wirtschaft:</w:t>
      </w:r>
      <w:r>
        <w:t xml:space="preserve"> ca. </w:t>
      </w:r>
      <w:r>
        <w:rPr>
          <w:b/>
        </w:rPr>
        <w:t>80 Mio EUR p.a.</w:t>
      </w:r>
      <w:r>
        <w:t xml:space="preserve"> (75 % weniger)</w:t>
      </w:r>
    </w:p>
    <w:p>
      <w:pPr>
        <w:pStyle w:val="ListBullet"/>
      </w:pPr>
      <w:r>
        <w:rPr>
          <w:b/>
        </w:rPr>
        <w:t>Geschätzter Erfuellungsaufwand Verwaltung:</w:t>
      </w:r>
      <w:r>
        <w:t xml:space="preserve"> ca. </w:t>
      </w:r>
      <w:r>
        <w:rPr>
          <w:b/>
        </w:rPr>
        <w:t>45 Mio EUR p.a.</w:t>
      </w:r>
      <w:r>
        <w:t xml:space="preserve"> (75 % weniger)</w:t>
      </w:r>
    </w:p>
    <w:p>
      <w:pPr>
        <w:pStyle w:val="ListBullet"/>
      </w:pPr>
      <w:r>
        <w:rPr>
          <w:b/>
        </w:rPr>
        <w:t>Vorteil:</w:t>
      </w:r>
      <w:r>
        <w:t xml:space="preserve"> ein Standard, niedrige Compliance-Last, KMU-tauglich, OZG-konform</w:t>
      </w:r>
    </w:p>
    <w:p>
      <w:pPr>
        <w:pStyle w:val="ListBullet"/>
      </w:pPr>
      <w:r>
        <w:rPr>
          <w:b/>
        </w:rPr>
        <w:t>Nachteil:</w:t>
      </w:r>
      <w:r>
        <w:t xml:space="preserve"> zentrale Lösung benötigt einmalige Investition Bundesjustizamt; Marktanbieter werden teilweise verdrängt</w:t>
      </w:r>
    </w:p>
    <w:p>
      <w:pPr>
        <w:pStyle w:val="Heading2"/>
      </w:pPr>
      <w:r>
        <w:rPr>
          <w:rFonts w:ascii="Times New Roman" w:hAnsi="Times New Roman"/>
        </w:rPr>
        <w:t>Szenario C — Freiwillig mit Anreiz</w:t>
      </w:r>
    </w:p>
    <w:p>
      <w:pPr>
        <w:pStyle w:val="ListBullet"/>
      </w:pPr>
      <w:r>
        <w:rPr>
          <w:b/>
        </w:rPr>
        <w:t>Architektur:</w:t>
      </w:r>
      <w:r>
        <w:t xml:space="preserve"> Freiwillige Einrichtung mit steuerlichem Anreiz (Beweisgebührenrabatt für elektronische Zustellung)</w:t>
      </w:r>
    </w:p>
    <w:p>
      <w:pPr>
        <w:pStyle w:val="ListBullet"/>
      </w:pPr>
      <w:r>
        <w:rPr>
          <w:b/>
        </w:rPr>
        <w:t>Lebensbescheid:</w:t>
      </w:r>
      <w:r>
        <w:t xml:space="preserve"> entfällt</w:t>
      </w:r>
    </w:p>
    <w:p>
      <w:pPr>
        <w:pStyle w:val="ListBullet"/>
      </w:pPr>
      <w:r>
        <w:rPr>
          <w:b/>
        </w:rPr>
        <w:t>Sanktion:</w:t>
      </w:r>
      <w:r>
        <w:t xml:space="preserve"> keine</w:t>
      </w:r>
    </w:p>
    <w:p>
      <w:pPr>
        <w:pStyle w:val="ListBullet"/>
      </w:pPr>
      <w:r>
        <w:rPr>
          <w:b/>
        </w:rPr>
        <w:t>Geschätzter Erfuellungsaufwand Wirtschaft:</w:t>
      </w:r>
      <w:r>
        <w:t xml:space="preserve"> ca. </w:t>
      </w:r>
      <w:r>
        <w:rPr>
          <w:b/>
        </w:rPr>
        <w:t>5 Mio EUR p.a.</w:t>
      </w:r>
      <w:r>
        <w:t xml:space="preserve"> (nur die freiwillig teilnehmenden)</w:t>
      </w:r>
    </w:p>
    <w:p>
      <w:pPr>
        <w:pStyle w:val="ListBullet"/>
      </w:pPr>
      <w:r>
        <w:rPr>
          <w:b/>
        </w:rPr>
        <w:t>Geschätzter Erfuellungsaufwand Verwaltung:</w:t>
      </w:r>
      <w:r>
        <w:t xml:space="preserve"> ca. </w:t>
      </w:r>
      <w:r>
        <w:rPr>
          <w:b/>
        </w:rPr>
        <w:t>15 Mio EUR p.a.</w:t>
      </w:r>
      <w:r>
        <w:t xml:space="preserve"> (Verwaltung des Steuerrabatt-Systems)</w:t>
      </w:r>
    </w:p>
    <w:p>
      <w:pPr>
        <w:pStyle w:val="ListBullet"/>
      </w:pPr>
      <w:r>
        <w:rPr>
          <w:b/>
        </w:rPr>
        <w:t>Vorteil:</w:t>
      </w:r>
      <w:r>
        <w:t xml:space="preserve"> maximale Marktorientierung, kaum Compliance</w:t>
      </w:r>
    </w:p>
    <w:p>
      <w:pPr>
        <w:pStyle w:val="ListBullet"/>
      </w:pPr>
      <w:r>
        <w:rPr>
          <w:b/>
        </w:rPr>
        <w:t>Nachteil:</w:t>
      </w:r>
      <w:r>
        <w:t xml:space="preserve"> </w:t>
      </w:r>
      <w:r>
        <w:rPr>
          <w:b/>
        </w:rPr>
        <w:t>zielt verfehlen</w:t>
      </w:r>
      <w:r>
        <w:t xml:space="preserve"> — KMU werden nicht freiwillig teilnehmen; das Problem bleibt bestehen</w:t>
      </w:r>
    </w:p>
    <w:p>
      <w:pPr>
        <w:pStyle w:val="Heading2"/>
      </w:pPr>
      <w:r>
        <w:rPr>
          <w:rFonts w:ascii="Times New Roman" w:hAnsi="Times New Roman"/>
        </w:rPr>
        <w:t>Drei-Szenarien-Bewertungsmatrix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Kriterium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Szenario A (BMJ)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Szenario B (NKR)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Szenario C (Freiwillig)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Zielereichung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Erfuellungsaufwand Wirtschaft p.a.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320 Mio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 Mio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 Mio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Erfuellungsaufwand Verwaltung p.a.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180 Mio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45 Mio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 Mio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KMU-Verträglichkeit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Vollzugstauglichkeit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OZG-Anschlussfähigkeit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Marktoffenheit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sehr hoch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EU-Konformitaet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NKR-Empfehlung</w:t>
      </w:r>
    </w:p>
    <w:p>
      <w:pPr>
        <w:jc w:val="left"/>
      </w:pPr>
      <w:r>
        <w:rPr>
          <w:b/>
        </w:rPr>
        <w:t>Szenario B</w:t>
      </w:r>
      <w:r>
        <w:t>. Die Erforderlichkeit ist gegeben (Szenario C scheidet aus), und Szenario A erzeugt einen unverhaeltnismaessig hohen Aufwand bei vergleichbarer Zielerreichung.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