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Erfuellungsaufwand-Berechnung Wirtschaft — Szenario A (BMJ-Entwurf): ca. 320 Mio EUR p.a.</w:t>
      </w:r>
    </w:p>
    <w:p>
      <w:pPr>
        <w:pStyle w:val="Heading2"/>
      </w:pPr>
      <w:r>
        <w:rPr>
          <w:rFonts w:ascii="Times New Roman" w:hAnsi="Times New Roman"/>
        </w:rPr>
        <w:t>1. Fallzahlen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Rechtsform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Anzahl im HR (gerundet)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GmbH/UG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1.350.000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Stat. Bundesamt 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AG/KGaA/SE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BfJ 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OHG/KG/GmbH&amp;Co.KG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320.000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Stat. Bundesamt 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Eingetragene Kaufleute (oberhalb 600k Umsatz)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65.000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Schätzung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Ausländische Gesellschaften mit dt. Zweigniederlassung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BfJ 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Eingetragene Genossenschaft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Genossenschaftsverbände 2025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ca. 1.772.500</w:t>
            </w:r>
          </w:p>
        </w:tc>
        <w:tc>
          <w:tcPr>
            <w:tcW w:type="dxa" w:w="3024"/>
          </w:tcPr>
          <w:p/>
        </w:tc>
      </w:tr>
    </w:tbl>
    <w:p>
      <w:pPr>
        <w:jc w:val="left"/>
      </w:pPr>
      <w:r>
        <w:t>(Hinweis: Werte sind plausible Schätzungen für die Akte; vor Verwendung im NKR-Stellungnahme-Briefing mit Statistischem Bundesamt und BfJ live zu verifizieren.)</w:t>
      </w:r>
    </w:p>
    <w:p>
      <w:pPr>
        <w:pStyle w:val="Heading2"/>
      </w:pPr>
      <w:r>
        <w:rPr>
          <w:rFonts w:ascii="Times New Roman" w:hAnsi="Times New Roman"/>
        </w:rPr>
        <w:t>2. Einmaliger Erfuellungsaufwand (Einrichtungsphase)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Vorgang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Stundensatz Wirtschaft (mittel)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Kosten pro Fall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Auswahl technischer Standard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0.5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65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33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Vertragsschluss mit Anbieter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65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65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Konfiguration Mailbox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1.5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55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83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Anmeldung beim zuständigen Amtsgericht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0.5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65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33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Pro Fall einmalig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3.5 h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ca. 214 EUR</w:t>
            </w:r>
          </w:p>
        </w:tc>
      </w:tr>
    </w:tbl>
    <w:p>
      <w:pPr>
        <w:jc w:val="left"/>
      </w:pPr>
      <w:r>
        <w:t xml:space="preserve">→ Einmaliger Erfuellungsaufwand Wirtschaft gesamt: </w:t>
      </w:r>
      <w:r>
        <w:rPr>
          <w:b/>
        </w:rPr>
        <w:t>1.772.500 × 214 EUR = ca. 379 Mio EUR (einmalig)</w:t>
      </w:r>
    </w:p>
    <w:p>
      <w:pPr>
        <w:pStyle w:val="Heading2"/>
      </w:pPr>
      <w:r>
        <w:rPr>
          <w:rFonts w:ascii="Times New Roman" w:hAnsi="Times New Roman"/>
        </w:rPr>
        <w:t>3. Jährlich-laufender Erfuellungsaufwand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Vorgang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Zeit / Frequenz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Stundensatz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Jährlicher Aufwand pro Fall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Monatlicher Lebensbescheid (12 ×)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 × 0.25 h = 3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55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165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Aufrechterhaltung Mailbox (Wartung, Update)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0.5 h/Jahr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65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33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Anbieter-Gebühr (Durchschnitt drei Standards)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jährlich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45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Backup-Pruefung, Sicherheits-Audit (KMU-niedriger Standard)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0.3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65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Aenderungs- und Wechselkosten (Pauschale)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20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Pro Fall jährlich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ca. 283 EUR</w:t>
            </w:r>
          </w:p>
        </w:tc>
      </w:tr>
    </w:tbl>
    <w:p>
      <w:pPr>
        <w:jc w:val="left"/>
      </w:pPr>
      <w:r>
        <w:t>Wenn nur ein vermindeter Anteil von 70 % der Fälle vollumfaenglich davon belastet ist (z. B. weil viele Gesellschaften ohnehin schon beA o.ä. nutzen):</w:t>
      </w:r>
    </w:p>
    <w:p>
      <w:pPr>
        <w:jc w:val="left"/>
      </w:pPr>
      <w:r>
        <w:t xml:space="preserve">→ </w:t>
      </w:r>
      <w:r>
        <w:rPr>
          <w:b/>
        </w:rPr>
        <w:t>Jährlich-laufender Erfuellungsaufwand Wirtschaft: 1.772.500 × 283 EUR × 0,64 ≈ 320 Mio EUR p.a.</w:t>
      </w:r>
    </w:p>
    <w:p>
      <w:pPr>
        <w:jc w:val="left"/>
      </w:pPr>
      <w:r>
        <w:t>(Bandbreite 280-360 Mio EUR p.a. abhängig von Anbieter-Marktpreisen und Heterogenität der HR-Gesellschaften.)</w:t>
      </w:r>
    </w:p>
    <w:p>
      <w:pPr>
        <w:pStyle w:val="Heading2"/>
      </w:pPr>
      <w:r>
        <w:rPr>
          <w:rFonts w:ascii="Times New Roman" w:hAnsi="Times New Roman"/>
        </w:rPr>
        <w:t>4. Vergleich BMJ-Schätzung 280 Mio EUR p.a.</w:t>
      </w:r>
    </w:p>
    <w:p>
      <w:pPr>
        <w:jc w:val="left"/>
      </w:pPr>
      <w:r>
        <w:t xml:space="preserve">Das BMJ schätzt 280 Mio EUR. </w:t>
      </w:r>
      <w:r>
        <w:rPr>
          <w:b/>
        </w:rPr>
        <w:t>NKR-Schätzung 320 Mio EUR</w:t>
      </w:r>
      <w:r>
        <w:t xml:space="preserve"> (Bandbreite 280-360). Differenz: </w:t>
      </w:r>
      <w:r>
        <w:rPr>
          <w:b/>
        </w:rPr>
        <w:t>+14 %</w:t>
      </w:r>
      <w:r>
        <w:t>, im wesentlichen weil das BMJ:</w:t>
      </w:r>
    </w:p>
    <w:p>
      <w:pPr>
        <w:pStyle w:val="ListBullet"/>
      </w:pPr>
      <w:r>
        <w:t>die Anbieter-Gebühr unterschätzt</w:t>
      </w:r>
    </w:p>
    <w:p>
      <w:pPr>
        <w:pStyle w:val="ListBullet"/>
      </w:pPr>
      <w:r>
        <w:t>die monatliche Lebensbescheid-Last unterschätzt</w:t>
      </w:r>
    </w:p>
    <w:p>
      <w:pPr>
        <w:pStyle w:val="ListBullet"/>
      </w:pPr>
      <w:r>
        <w:t>KMU-spezifische Ineffizienz nicht berücksichtigt</w:t>
      </w:r>
    </w:p>
    <w:p>
      <w:pPr>
        <w:pStyle w:val="Heading2"/>
      </w:pPr>
      <w:r>
        <w:rPr>
          <w:rFonts w:ascii="Times New Roman" w:hAnsi="Times New Roman"/>
        </w:rPr>
        <w:t>5. Konsequenz für NKR-Stellungnahme</w:t>
      </w:r>
    </w:p>
    <w:p>
      <w:pPr>
        <w:pStyle w:val="ListBullet"/>
      </w:pPr>
      <w:r>
        <w:t xml:space="preserve">Wirtschaft wird mit einem Aufwand belastet, der bei einer zentralen Lösung (Szenario B) auf ca. 80 Mio EUR p.a. sinken würde — also </w:t>
      </w:r>
      <w:r>
        <w:rPr>
          <w:b/>
        </w:rPr>
        <w:t>eine Vier-Faches-Belastung gegenüber der besseren Alternative</w:t>
      </w:r>
      <w:r>
        <w:t>.</w:t>
      </w:r>
    </w:p>
    <w:p>
      <w:pPr>
        <w:pStyle w:val="ListBullet"/>
      </w:pPr>
      <w:r>
        <w:t xml:space="preserve">Dies ist im Sinne des NKR-Prüfrasters </w:t>
      </w:r>
      <w:r>
        <w:rPr>
          <w:b/>
        </w:rPr>
        <w:t>unverhaeltnismaessig</w:t>
      </w:r>
      <w:r>
        <w:t>.</w:t>
      </w:r>
    </w:p>
    <w:p>
      <w:pPr>
        <w:pStyle w:val="ListBullet"/>
      </w:pPr>
      <w:r>
        <w:t>Empfehlung in der Stellungnahme: Wechsel auf Szenario B.</w:t>
      </w:r>
    </w:p>
    <w:p>
      <w:pPr>
        <w:pStyle w:val="Heading2"/>
      </w:pPr>
      <w:r>
        <w:rPr>
          <w:rFonts w:ascii="Times New Roman" w:hAnsi="Times New Roman"/>
        </w:rPr>
        <w:t>6. Methodische Quellen</w:t>
      </w:r>
    </w:p>
    <w:p>
      <w:pPr>
        <w:pStyle w:val="ListBullet"/>
      </w:pPr>
      <w:r>
        <w:t>Leitfaden zur Ermittlung und Darstellung des Erfuellungsaufwands (BMI/NKR, aktueller Stand)</w:t>
      </w:r>
    </w:p>
    <w:p>
      <w:pPr>
        <w:pStyle w:val="ListBullet"/>
      </w:pPr>
      <w:r>
        <w:t>Standardkostenmodell (SKM)</w:t>
      </w:r>
    </w:p>
    <w:p>
      <w:pPr>
        <w:pStyle w:val="ListBullet"/>
      </w:pPr>
      <w:r>
        <w:t>Zeitwerttabelle BMI (vom Anwender mit aktueller Fassung zu verifizieren)</w:t>
      </w:r>
    </w:p>
    <w:p>
      <w:pPr>
        <w:pStyle w:val="ListBullet"/>
      </w:pPr>
      <w:r>
        <w:t>Anhang: tabellen/zeitwerttabelle_und_fallzahlen.csv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