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One-in-one-out-Pruefung</w:t>
      </w:r>
    </w:p>
    <w:p>
      <w:pPr>
        <w:pStyle w:val="Heading2"/>
      </w:pPr>
      <w:r>
        <w:rPr>
          <w:rFonts w:ascii="Times New Roman" w:hAnsi="Times New Roman"/>
        </w:rPr>
        <w:t>Hintergrund</w:t>
      </w:r>
    </w:p>
    <w:p>
      <w:pPr>
        <w:jc w:val="left"/>
      </w:pPr>
      <w:r>
        <w:t xml:space="preserve">Die </w:t>
      </w:r>
      <w:r>
        <w:rPr>
          <w:b/>
        </w:rPr>
        <w:t>One-in-one-out-Regel</w:t>
      </w:r>
      <w:r>
        <w:t xml:space="preserve"> der Bundesregierung (Kabinettsbeschluss 25.03.2015): jede neue Belastung der Wirtschaft durch Bundesrecht muss durch eine Entlastung gleicher Höhe im selben Ressortbereich kompensiert werden.</w:t>
      </w:r>
    </w:p>
    <w:p>
      <w:pPr>
        <w:pStyle w:val="Heading2"/>
      </w:pPr>
      <w:r>
        <w:rPr>
          <w:rFonts w:ascii="Times New Roman" w:hAnsi="Times New Roman"/>
        </w:rPr>
        <w:t>Belastung durch ElErrHandRegG</w:t>
      </w:r>
    </w:p>
    <w:p>
      <w:pPr>
        <w:pStyle w:val="ListBullet"/>
      </w:pPr>
      <w:r>
        <w:rPr>
          <w:b/>
        </w:rPr>
        <w:t>Wirtschaft jährlich:</w:t>
      </w:r>
      <w:r>
        <w:t xml:space="preserve"> 320 Mio EUR (NKR-Schätzung)</w:t>
      </w:r>
    </w:p>
    <w:p>
      <w:pPr>
        <w:pStyle w:val="ListBullet"/>
      </w:pPr>
      <w:r>
        <w:rPr>
          <w:b/>
        </w:rPr>
        <w:t>Einmalig:</w:t>
      </w:r>
      <w:r>
        <w:t xml:space="preserve"> 379 Mio EUR</w:t>
      </w:r>
    </w:p>
    <w:p>
      <w:pPr>
        <w:pStyle w:val="Heading2"/>
      </w:pPr>
      <w:r>
        <w:rPr>
          <w:rFonts w:ascii="Times New Roman" w:hAnsi="Times New Roman"/>
        </w:rPr>
        <w:t>Geplante Entlastung (BMJ)</w:t>
      </w:r>
    </w:p>
    <w:p>
      <w:pPr>
        <w:jc w:val="left"/>
      </w:pPr>
      <w:r>
        <w:t xml:space="preserve">Der Referentenentwurf nennt </w:t>
      </w:r>
      <w:r>
        <w:rPr>
          <w:b/>
        </w:rPr>
        <w:t>keine</w:t>
      </w:r>
      <w:r>
        <w:t xml:space="preserve"> konkrete Entlastung. Das BMJ verweist auf:</w:t>
      </w:r>
    </w:p>
    <w:p>
      <w:pPr>
        <w:pStyle w:val="ListNumber"/>
      </w:pPr>
      <w:r>
        <w:t xml:space="preserve">Wegfall der Pflicht zur </w:t>
      </w:r>
      <w:r>
        <w:rPr>
          <w:b/>
        </w:rPr>
        <w:t>Postzustellung mit Empfangsbekenntnis</w:t>
      </w:r>
      <w:r>
        <w:t xml:space="preserve"> in bestimmten Fällen (geschätzt: 35 Mio EUR p.a. Entlastung)</w:t>
      </w:r>
    </w:p>
    <w:p>
      <w:pPr>
        <w:pStyle w:val="ListNumber"/>
      </w:pPr>
      <w:r>
        <w:t>Spätere Einsparungen durch beschleunigte Verfahren (nicht quantifizierbar)</w:t>
      </w:r>
    </w:p>
    <w:p>
      <w:pPr>
        <w:pStyle w:val="Heading2"/>
      </w:pPr>
      <w:r>
        <w:rPr>
          <w:rFonts w:ascii="Times New Roman" w:hAnsi="Times New Roman"/>
        </w:rPr>
        <w:t>NKR-Bewertung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Befund</w:t>
            </w:r>
          </w:p>
        </w:tc>
      </w:tr>
      <w:tr>
        <w:tc>
          <w:tcPr>
            <w:tcW w:type="dxa" w:w="4536"/>
          </w:tcPr>
          <w:p>
            <w:r>
              <w:rPr>
                <w:rFonts w:ascii="Times New Roman" w:hAnsi="Times New Roman"/>
                <w:sz w:val="20"/>
              </w:rPr>
              <w:t>One-in-one-out vollständig?</w:t>
            </w:r>
          </w:p>
        </w:tc>
        <w:tc>
          <w:tcPr>
            <w:tcW w:type="dxa" w:w="4536"/>
          </w:tcPr>
          <w:p>
            <w:r>
              <w:rPr>
                <w:rFonts w:ascii="Times New Roman" w:hAnsi="Times New Roman"/>
                <w:b/>
                <w:sz w:val="20"/>
              </w:rPr>
              <w:t>Nein</w:t>
            </w:r>
            <w:r>
              <w:rPr>
                <w:rFonts w:ascii="Times New Roman" w:hAnsi="Times New Roman"/>
                <w:sz w:val="20"/>
              </w:rPr>
              <w:t xml:space="preserve">. 320 Mio EUR Belastung vs. 35 Mio EUR Entlastung — </w:t>
            </w:r>
            <w:r>
              <w:rPr>
                <w:rFonts w:ascii="Times New Roman" w:hAnsi="Times New Roman"/>
                <w:b/>
                <w:sz w:val="20"/>
              </w:rPr>
              <w:t>Saldo -285 Mio EUR</w:t>
            </w:r>
          </w:p>
        </w:tc>
      </w:tr>
      <w:tr>
        <w:tc>
          <w:tcPr>
            <w:tcW w:type="dxa" w:w="4536"/>
          </w:tcPr>
          <w:p>
            <w:r>
              <w:rPr>
                <w:rFonts w:ascii="Times New Roman" w:hAnsi="Times New Roman"/>
                <w:sz w:val="20"/>
              </w:rPr>
              <w:t>Im selben Ressortbereich?</w:t>
            </w:r>
          </w:p>
        </w:tc>
        <w:tc>
          <w:tcPr>
            <w:tcW w:type="dxa" w:w="4536"/>
          </w:tcPr>
          <w:p>
            <w:r>
              <w:rPr>
                <w:rFonts w:ascii="Times New Roman" w:hAnsi="Times New Roman"/>
                <w:sz w:val="20"/>
              </w:rPr>
              <w:t>Teilweise (BMJ-Bereich), aber Saldo unklar</w:t>
            </w:r>
          </w:p>
        </w:tc>
      </w:tr>
      <w:tr>
        <w:tc>
          <w:tcPr>
            <w:tcW w:type="dxa" w:w="4536"/>
          </w:tcPr>
          <w:p>
            <w:r>
              <w:rPr>
                <w:rFonts w:ascii="Times New Roman" w:hAnsi="Times New Roman"/>
                <w:sz w:val="20"/>
              </w:rPr>
              <w:t>Quantifizierung der späteren Einsparungen?</w:t>
            </w:r>
          </w:p>
        </w:tc>
        <w:tc>
          <w:tcPr>
            <w:tcW w:type="dxa" w:w="4536"/>
          </w:tcPr>
          <w:p>
            <w:r>
              <w:rPr>
                <w:rFonts w:ascii="Times New Roman" w:hAnsi="Times New Roman"/>
                <w:sz w:val="20"/>
              </w:rPr>
              <w:t>nicht erfolgt, daher nicht buchbar</w:t>
            </w:r>
          </w:p>
        </w:tc>
      </w:tr>
    </w:tbl>
    <w:p>
      <w:pPr>
        <w:pStyle w:val="Heading2"/>
      </w:pPr>
      <w:r>
        <w:rPr>
          <w:rFonts w:ascii="Times New Roman" w:hAnsi="Times New Roman"/>
        </w:rPr>
        <w:t>NKR-Forderung</w:t>
      </w:r>
    </w:p>
    <w:p>
      <w:pPr>
        <w:jc w:val="left"/>
      </w:pPr>
      <w:r>
        <w:t xml:space="preserve">Bevor die Kabinettsvorlage beschlossen wird, ist die </w:t>
      </w:r>
      <w:r>
        <w:rPr>
          <w:b/>
        </w:rPr>
        <w:t>One-in-one-out-Bilanz vollständig</w:t>
      </w:r>
      <w:r>
        <w:t xml:space="preserve"> auszuweisen. Ohne eine konkrete Entlastung von 285 Mio EUR im BMJ-Bereich (z. B. durch Wegfall weiterer Schriftform-Erfordernisse oder durch Aufhebung uneffizienter Berichtspflichten) ist der Entwurf mit der One-in-one-out-Regel </w:t>
      </w:r>
      <w:r>
        <w:rPr>
          <w:b/>
        </w:rPr>
        <w:t>nicht vereinbar</w:t>
      </w:r>
      <w:r>
        <w:t>.</w:t>
      </w:r>
    </w:p>
    <w:p>
      <w:pPr>
        <w:pStyle w:val="Heading2"/>
      </w:pPr>
      <w:r>
        <w:rPr>
          <w:rFonts w:ascii="Times New Roman" w:hAnsi="Times New Roman"/>
        </w:rPr>
        <w:t>Empfehlung Stellungnahme</w:t>
      </w:r>
    </w:p>
    <w:p>
      <w:pPr>
        <w:ind w:left="567"/>
      </w:pPr>
      <w:r>
        <w:rPr>
          <w:i/>
        </w:rPr>
        <w:t>"Der NKR weist darauf hin, dass die One-in-one-out-Regel der Bundesregierung eine vollständige Kompensation der neuen Wirtschaftsbelastung verlangt. Das Vorhaben weist eine Belastung in Höhe von ca. 320 Mio EUR jährlich aus, kompensiert aber nur 35 Mio EUR. Vor Verabschiedung ist daher eine zusätzliche Entlastung in Höhe von 285 Mio EUR im BMJ-Bereich nachzuweisen — oder die Belastung selbst zu reduzieren (siehe Szenario B in unserer Stellungnahme)."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