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KMU-Test (Mittelstandsfreundlichkeit)</w:t>
      </w:r>
    </w:p>
    <w:p>
      <w:pPr>
        <w:pStyle w:val="Heading2"/>
      </w:pPr>
      <w:r>
        <w:rPr>
          <w:rFonts w:ascii="Times New Roman" w:hAnsi="Times New Roman"/>
        </w:rPr>
        <w:t>NKR-Prüfraster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Prüfpunkt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Befund Szenario A (BMJ)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Sind KMU disproportional belastet?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Ja</w:t>
            </w:r>
            <w:r>
              <w:rPr>
                <w:rFonts w:ascii="Times New Roman" w:hAnsi="Times New Roman"/>
                <w:sz w:val="20"/>
              </w:rPr>
              <w:t>. 1,3 Mio GmbH/UG (haftungsbeschraenkt) sind überwiegend KMU; die Compliance-Last von ca. 283 EUR p.a. wirkt bei KMU stärker als bei Konzernen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Pauschalsatz statt gestaffelt?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>. Gleiche Pflicht und gleiches Sanktionsregime für 5-Personen-GmbH und 5.000-Personen-AG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Schwellenwerte für Befreiung?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>. Nur für eingetragenen Kaufmann (e.K.) wird ein Schwellenwert von 600.000 EUR Jahresumsatz vorgesehen — für GmbH/UG nicht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Verlängerte Übergangsfrist für KMU?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  <w:r>
              <w:rPr>
                <w:rFonts w:ascii="Times New Roman" w:hAnsi="Times New Roman"/>
                <w:sz w:val="20"/>
              </w:rPr>
              <w:t>. Einheitlich sechs Monate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Vereinfachte Anforderungen für KMU?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Nein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Konkrete KMU-Wirkung</w:t>
      </w:r>
    </w:p>
    <w:p>
      <w:pPr>
        <w:pStyle w:val="ListBullet"/>
      </w:pPr>
      <w:r>
        <w:t xml:space="preserve">Eine </w:t>
      </w:r>
      <w:r>
        <w:rPr>
          <w:b/>
        </w:rPr>
        <w:t>5-Personen-GmbH</w:t>
      </w:r>
      <w:r>
        <w:t xml:space="preserve"> mit 800.000 EUR Jahresumsatz hat keine eigene IT-Abteilung. Sie muss:</w:t>
      </w:r>
    </w:p>
    <w:p>
      <w:pPr>
        <w:pStyle w:val="ListBullet"/>
      </w:pPr>
      <w:r>
        <w:t>sich zwischen drei technischen Standards entscheiden</w:t>
      </w:r>
    </w:p>
    <w:p>
      <w:pPr>
        <w:pStyle w:val="ListBullet"/>
      </w:pPr>
      <w:r>
        <w:t>vermutlich einen externen Dienstleister oder Steuerberater einbinden</w:t>
      </w:r>
    </w:p>
    <w:p>
      <w:pPr>
        <w:pStyle w:val="ListBullet"/>
      </w:pPr>
      <w:r>
        <w:t>monatlich einen Lebensbescheid abgeben</w:t>
      </w:r>
    </w:p>
    <w:p>
      <w:pPr>
        <w:pStyle w:val="ListBullet"/>
      </w:pPr>
      <w:r>
        <w:t>bei Versehen mit Löschung aus dem HR rechnen</w:t>
      </w:r>
    </w:p>
    <w:p>
      <w:pPr>
        <w:pStyle w:val="ListBullet"/>
      </w:pPr>
      <w:r>
        <w:t xml:space="preserve">Wirtschaftliche Folge: </w:t>
      </w:r>
      <w:r>
        <w:rPr>
          <w:b/>
        </w:rPr>
        <w:t>Compliance-Stress, gegebenenfalls externe Beraterkosten 500-1.500 EUR p.a.</w:t>
      </w:r>
      <w:r>
        <w:t xml:space="preserve"> zusätzlich zum berechneten 283 EUR-Schnitt.</w:t>
      </w:r>
    </w:p>
    <w:p>
      <w:pPr>
        <w:pStyle w:val="Heading2"/>
      </w:pPr>
      <w:r>
        <w:rPr>
          <w:rFonts w:ascii="Times New Roman" w:hAnsi="Times New Roman"/>
        </w:rPr>
        <w:t>Empfehlung NKR</w:t>
      </w:r>
    </w:p>
    <w:p>
      <w:pPr>
        <w:pStyle w:val="ListBullet"/>
      </w:pPr>
      <w:r>
        <w:rPr>
          <w:b/>
        </w:rPr>
        <w:t>Schwellenwert</w:t>
      </w:r>
      <w:r>
        <w:t xml:space="preserve"> für Befreiungen oder reduzierte Pflichten: GmbH/UG mit Jahresumsatz unter 250.000 EUR und ohne mehr als 5 Mitarbeiter.</w:t>
      </w:r>
    </w:p>
    <w:p>
      <w:pPr>
        <w:pStyle w:val="ListBullet"/>
      </w:pPr>
      <w:r>
        <w:rPr>
          <w:b/>
        </w:rPr>
        <w:t>Pauschal-Wechselrabatt</w:t>
      </w:r>
      <w:r>
        <w:t xml:space="preserve"> beim Mailbox-Anbieter, gefördert durch das BMJ.</w:t>
      </w:r>
    </w:p>
    <w:p>
      <w:pPr>
        <w:pStyle w:val="ListBullet"/>
      </w:pPr>
      <w:r>
        <w:rPr>
          <w:b/>
        </w:rPr>
        <w:t>Vereinfachter Lebensbescheid</w:t>
      </w:r>
      <w:r>
        <w:t xml:space="preserve"> über jährliche Bilanzpublikation mitlaufend.</w:t>
      </w:r>
    </w:p>
    <w:p>
      <w:pPr>
        <w:pStyle w:val="ListBullet"/>
      </w:pPr>
      <w:r>
        <w:rPr>
          <w:b/>
        </w:rPr>
        <w:t>Loeschungssanktion gestrichen</w:t>
      </w:r>
      <w:r>
        <w:t>; ersetzt durch Zwangsgeld-Eskalationsmodell mit maximalem Betrag 5.000 EUR.</w:t>
      </w:r>
    </w:p>
    <w:p>
      <w:pPr>
        <w:pStyle w:val="Heading2"/>
      </w:pPr>
      <w:r>
        <w:rPr>
          <w:rFonts w:ascii="Times New Roman" w:hAnsi="Times New Roman"/>
        </w:rPr>
        <w:t>Stellungnahme-Bezug</w:t>
      </w:r>
    </w:p>
    <w:p>
      <w:pPr>
        <w:ind w:left="567"/>
      </w:pPr>
      <w:r>
        <w:rPr>
          <w:i/>
        </w:rPr>
        <w:t>"Der NKR weist darauf hin, dass das Vorhaben keine angemessene Berücksichtigung der besonderen Belange kleiner und mittlerer Unternehmen aufweist. Insbesondere die einheitliche monatliche Lebensbescheid-Pflicht und die Sanktion einer Löschung aus dem Handelsregister erscheinen für kleine GmbHs und UGs unverhaeltnismaessig. Eine differenzierte Regelung mit Schwellenwerten ist erforderlich."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