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NKR-Stellungnahme zum ElErrHandRegG — Entwurf V1 (15.05.2026)</w:t>
      </w:r>
    </w:p>
    <w:p>
      <w:pPr>
        <w:jc w:val="left"/>
      </w:pPr>
      <w:r>
        <w:rPr>
          <w:b/>
        </w:rPr>
        <w:t>Bearbeitungsstand:</w:t>
      </w:r>
      <w:r>
        <w:t xml:space="preserve"> Internel Diskussionsentwurf für Plenum 22.05.2026</w:t>
      </w:r>
    </w:p>
    <w:p>
      <w:pPr>
        <w:jc w:val="left"/>
      </w:pPr>
      <w:r>
        <w:rPr>
          <w:b/>
        </w:rPr>
        <w:t>Berichterstattung:</w:t>
      </w:r>
      <w:r>
        <w:t xml:space="preserve"> Prof. Dr. Christine Mertens-Vellbruck</w:t>
      </w:r>
    </w:p>
    <w:p/>
    <w:p>
      <w:pPr>
        <w:pStyle w:val="Heading2"/>
      </w:pPr>
      <w:r>
        <w:rPr>
          <w:rFonts w:ascii="Times New Roman" w:hAnsi="Times New Roman"/>
        </w:rPr>
        <w:t>Nationaler Normenkontrollrat</w:t>
      </w:r>
    </w:p>
    <w:p>
      <w:pPr>
        <w:jc w:val="left"/>
      </w:pPr>
      <w:r>
        <w:rPr>
          <w:b/>
        </w:rPr>
        <w:t>Stellungnahme zum Referentenentwurf des Bundesministeriums der Justiz für ein Gesetz zur Verbesserung der elektronischen Erreichbarkeit von im Handelsregister eingetragenen Gesellschaften (ElErrHandRegG)</w:t>
      </w:r>
    </w:p>
    <w:p>
      <w:pPr>
        <w:jc w:val="left"/>
      </w:pPr>
      <w:r>
        <w:t>— Az. NKR-RefE-2026-088 —</w:t>
      </w:r>
    </w:p>
    <w:p>
      <w:pPr>
        <w:pStyle w:val="Heading3"/>
      </w:pPr>
      <w:r>
        <w:rPr>
          <w:rFonts w:ascii="Times New Roman" w:hAnsi="Times New Roman"/>
        </w:rPr>
        <w:t>1. Zusammenfassung</w:t>
      </w:r>
    </w:p>
    <w:p>
      <w:pPr>
        <w:jc w:val="left"/>
      </w:pPr>
      <w:r>
        <w:t>Der NKR hat das Vorhaben innerhalb der gesetzlichen Frist von sechs Wochen gemäß § 6 Abs. 1 NKRG geprüft. Im Ergebnis:</w:t>
      </w:r>
    </w:p>
    <w:p>
      <w:pPr>
        <w:pStyle w:val="ListBullet"/>
      </w:pPr>
      <w:r>
        <w:t xml:space="preserve">Das Vorhaben adressiert ein </w:t>
      </w:r>
      <w:r>
        <w:rPr>
          <w:b/>
        </w:rPr>
        <w:t>reales und gewichtiges Regelungsdefizit</w:t>
      </w:r>
      <w:r>
        <w:t>. Der NKR sieht die Erforderlichkeit als gegeben an.</w:t>
      </w:r>
    </w:p>
    <w:p>
      <w:pPr>
        <w:pStyle w:val="ListBullet"/>
      </w:pPr>
      <w:r>
        <w:t xml:space="preserve">Die im Referentenentwurf gewählte </w:t>
      </w:r>
      <w:r>
        <w:rPr>
          <w:b/>
        </w:rPr>
        <w:t>konkrete Ausgestaltung</w:t>
      </w:r>
      <w:r>
        <w:t xml:space="preserve"> ist hingegen mit einem unverhaeltnismaessig hohen Erfuellungsaufwand verbunden. Eine vorzugswuerdige Alternativ-Lösung würde den Erfuellungsaufwand für die Wirtschaft auf rund ein Viertel und den für die Verwaltung auf rund ein Viertel reduzieren.</w:t>
      </w:r>
    </w:p>
    <w:p>
      <w:pPr>
        <w:pStyle w:val="ListBullet"/>
      </w:pPr>
      <w:r>
        <w:t>Der NKR empfiehlt eine grundlegende Überarbeitung im Sinne einer zentralen Architektur.</w:t>
      </w:r>
    </w:p>
    <w:p>
      <w:pPr>
        <w:pStyle w:val="Heading3"/>
      </w:pPr>
      <w:r>
        <w:rPr>
          <w:rFonts w:ascii="Times New Roman" w:hAnsi="Times New Roman"/>
        </w:rPr>
        <w:t>2. Pruefung Erforderlichkeit</w:t>
      </w:r>
    </w:p>
    <w:p>
      <w:pPr>
        <w:jc w:val="left"/>
      </w:pPr>
      <w:r>
        <w:t>Der NKR teilt die Auffassung des Ressorts, dass eine Regulierung der elektronischen Erreichbarkeit von im Handelsregister eingetragenen Gesellschaften erforderlich ist. Auch der NKR weist darauf hin, dass die in der Begründung des Ressorts angesprochenen Probleme der gerichtlichen Zustellung an deutsche und insbesondere an ausländische Gesellschaften statistisch belegt und in der Justizpraxis spürbar sind.</w:t>
      </w:r>
    </w:p>
    <w:p>
      <w:pPr>
        <w:pStyle w:val="Heading3"/>
      </w:pPr>
      <w:r>
        <w:rPr>
          <w:rFonts w:ascii="Times New Roman" w:hAnsi="Times New Roman"/>
        </w:rPr>
        <w:t>3. Pruefung Erfuellungsaufwand</w:t>
      </w:r>
    </w:p>
    <w:p>
      <w:pPr>
        <w:jc w:val="left"/>
      </w:pPr>
      <w:r>
        <w:t>Das Ressort weist im Entwurf einen jährlichen Erfuellungsaufwand für die Wirtschaft in Höhe von rund 280 Mio EUR und für die Verwaltung in Höhe von rund 130 Mio EUR aus.</w:t>
      </w:r>
    </w:p>
    <w:p>
      <w:pPr>
        <w:jc w:val="left"/>
      </w:pPr>
      <w:r>
        <w:t>Der NKR teilt diese Schätzungen nicht. Auf Grundlage des Leitfadens zur Ermittlung und Darstellung des Erfuellungsaufwands und unter Anwendung des Standardkostenmodells errechnet der NKR:</w:t>
      </w:r>
    </w:p>
    <w:p>
      <w:pPr>
        <w:pStyle w:val="ListBullet"/>
      </w:pPr>
      <w:r>
        <w:rPr>
          <w:b/>
        </w:rPr>
        <w:t>Jährlicher Erfuellungsaufwand Wirtschaft</w:t>
      </w:r>
      <w:r>
        <w:t xml:space="preserve">: ca. </w:t>
      </w:r>
      <w:r>
        <w:rPr>
          <w:b/>
        </w:rPr>
        <w:t>320 Mio EUR</w:t>
      </w:r>
      <w:r>
        <w:t xml:space="preserve"> (Bandbreite 280–360 Mio EUR)</w:t>
      </w:r>
    </w:p>
    <w:p>
      <w:pPr>
        <w:pStyle w:val="ListBullet"/>
      </w:pPr>
      <w:r>
        <w:rPr>
          <w:b/>
        </w:rPr>
        <w:t>Jährlicher Erfuellungsaufwand Verwaltung</w:t>
      </w:r>
      <w:r>
        <w:t xml:space="preserve">: ca. </w:t>
      </w:r>
      <w:r>
        <w:rPr>
          <w:b/>
        </w:rPr>
        <w:t>180 Mio EUR</w:t>
      </w:r>
      <w:r>
        <w:t xml:space="preserve"> (Bandbreite 150–210 Mio EUR)</w:t>
      </w:r>
    </w:p>
    <w:p>
      <w:pPr>
        <w:pStyle w:val="ListBullet"/>
      </w:pPr>
      <w:r>
        <w:rPr>
          <w:b/>
        </w:rPr>
        <w:t>Einmaliger Erfuellungsaufwand Wirtschaft</w:t>
      </w:r>
      <w:r>
        <w:t>: ca. 379 Mio EUR</w:t>
      </w:r>
    </w:p>
    <w:p>
      <w:pPr>
        <w:pStyle w:val="ListBullet"/>
      </w:pPr>
      <w:r>
        <w:rPr>
          <w:b/>
        </w:rPr>
        <w:t>Einmaliger Erfuellungsaufwand Verwaltung</w:t>
      </w:r>
      <w:r>
        <w:t>: ca. 132 Mio EUR</w:t>
      </w:r>
    </w:p>
    <w:p>
      <w:pPr>
        <w:jc w:val="left"/>
      </w:pPr>
      <w:r>
        <w:t>Die wesentlichen Differenzen zum Ressort-Vortrag liegen in der Bewertung der monatlichen Lebensbescheid-Pflicht, der Anbieter-Gebühren und der KMU-spezifischen Compliance-Ineffizienz (zur Berechnung siehe Anlage).</w:t>
      </w:r>
    </w:p>
    <w:p>
      <w:pPr>
        <w:pStyle w:val="Heading3"/>
      </w:pPr>
      <w:r>
        <w:rPr>
          <w:rFonts w:ascii="Times New Roman" w:hAnsi="Times New Roman"/>
        </w:rPr>
        <w:t>4. Pruefung One-in-one-out</w:t>
      </w:r>
    </w:p>
    <w:p>
      <w:pPr>
        <w:jc w:val="left"/>
      </w:pPr>
      <w:r>
        <w:t xml:space="preserve">Das Vorhaben erfüllt die One-in-one-out-Regel der Bundesregierung </w:t>
      </w:r>
      <w:r>
        <w:rPr>
          <w:b/>
        </w:rPr>
        <w:t>nicht</w:t>
      </w:r>
      <w:r>
        <w:t>. Den geplanten 320 Mio EUR jährlicher Belastung stehen lediglich 35 Mio EUR Entlastung gegenüber. Der NKR fordert vor Verabschiedung der Kabinettsvorlage eine vollständige Kompensation im BMJ-Bereich oder eine Reduktion der Belastung.</w:t>
      </w:r>
    </w:p>
    <w:p>
      <w:pPr>
        <w:pStyle w:val="Heading3"/>
      </w:pPr>
      <w:r>
        <w:rPr>
          <w:rFonts w:ascii="Times New Roman" w:hAnsi="Times New Roman"/>
        </w:rPr>
        <w:t>5. Pruefung Mittelstandsfreundlichkeit</w:t>
      </w:r>
    </w:p>
    <w:p>
      <w:pPr>
        <w:jc w:val="left"/>
      </w:pPr>
      <w:r>
        <w:t>Das Vorhaben berücksichtigt die besonderen Belange kleiner und mittlerer Unternehmen unzureichend. Die einheitliche Pflicht und das einheitliche Sanktionsregime treffen GmbHs mit fünf Beschäftigten und Konzern-AGs gleichermassen. Der NKR empfiehlt eine differenzierte Regelung mit Schwellenwerten (z. B. Befreiung kleiner GmbHs unter 250.000 EUR Jahresumsatz von der monatlichen Lebensbescheid-Pflicht).</w:t>
      </w:r>
    </w:p>
    <w:p>
      <w:pPr>
        <w:pStyle w:val="Heading3"/>
      </w:pPr>
      <w:r>
        <w:rPr>
          <w:rFonts w:ascii="Times New Roman" w:hAnsi="Times New Roman"/>
        </w:rPr>
        <w:t>6. Pruefung Praktikabilität im Vollzug</w:t>
      </w:r>
    </w:p>
    <w:p>
      <w:pPr>
        <w:jc w:val="left"/>
      </w:pPr>
      <w:r>
        <w:t>Die im Entwurf vorgesehene Verteilung auf 117 Handelsregistergerichte mit drei parallelen technischen Standards erzeugt einen Vollzugsaufwand, der das im Standardkostenmodell hinterlegte Mass weit überschreitet. Der NKR empfiehlt eine zentrale Lösung beim Bundesjustizamt mit einem einheitlichen technischen Standard.</w:t>
      </w:r>
    </w:p>
    <w:p>
      <w:pPr>
        <w:pStyle w:val="Heading3"/>
      </w:pPr>
      <w:r>
        <w:rPr>
          <w:rFonts w:ascii="Times New Roman" w:hAnsi="Times New Roman"/>
        </w:rPr>
        <w:t>7. Pruefung Digitalcheck und OZG-Anschluss</w:t>
      </w:r>
    </w:p>
    <w:p>
      <w:pPr>
        <w:jc w:val="left"/>
      </w:pPr>
      <w:r>
        <w:t xml:space="preserve">Das Vorhaben ist mit dem Onlinezugangsgesetz, der eIDAS-Verordnung in der 2024er Fassung und den anstehenden EUDI-Wallet-Vorgaben </w:t>
      </w:r>
      <w:r>
        <w:rPr>
          <w:b/>
        </w:rPr>
        <w:t>nicht hinreichend abgestimmt</w:t>
      </w:r>
      <w:r>
        <w:t>. Der NKR empfiehlt eine systematische Pruefung der Anschlussfähigkeit vor Verabschiedung.</w:t>
      </w:r>
    </w:p>
    <w:p>
      <w:pPr>
        <w:pStyle w:val="Heading3"/>
      </w:pPr>
      <w:r>
        <w:rPr>
          <w:rFonts w:ascii="Times New Roman" w:hAnsi="Times New Roman"/>
        </w:rPr>
        <w:t>8. Pruefung EU-Recht</w:t>
      </w:r>
    </w:p>
    <w:p>
      <w:pPr>
        <w:jc w:val="left"/>
      </w:pPr>
      <w:r>
        <w:t>Die Regelung des Inlandsvertreters für ausländische Gesellschaften (insbesondere für Gesellschaften aus anderen EU-Mitgliedstaaten) sollte hinsichtlich Vereinbarkeit mit der Niederlassungsfreiheit (Art. 49 AEUV) und der Brüssel-Ia-VO (insbesondere Art. 64) überprüft werden.</w:t>
      </w:r>
    </w:p>
    <w:p>
      <w:pPr>
        <w:pStyle w:val="Heading3"/>
      </w:pPr>
      <w:r>
        <w:rPr>
          <w:rFonts w:ascii="Times New Roman" w:hAnsi="Times New Roman"/>
        </w:rPr>
        <w:t>9. Empfehlung</w:t>
      </w:r>
    </w:p>
    <w:p>
      <w:pPr>
        <w:jc w:val="left"/>
      </w:pPr>
      <w:r>
        <w:t>Der NKR empfiehlt, das Vorhaben in folgender Richtung grundlegend zu überarbeiten:</w:t>
      </w:r>
    </w:p>
    <w:p>
      <w:pPr>
        <w:jc w:val="left"/>
      </w:pPr>
      <w:r>
        <w:t xml:space="preserve">a) </w:t>
      </w:r>
      <w:r>
        <w:rPr>
          <w:b/>
        </w:rPr>
        <w:t>Zentrale Architektur</w:t>
      </w:r>
      <w:r>
        <w:t xml:space="preserve"> beim Bundesjustizamt als einheitliche elektronische Zustellungs-Postfach-Infrastruktur für alle im Handelsregister eingetragenen Gesellschaften.</w:t>
      </w:r>
    </w:p>
    <w:p>
      <w:pPr>
        <w:jc w:val="left"/>
      </w:pPr>
      <w:r>
        <w:t xml:space="preserve">b) </w:t>
      </w:r>
      <w:r>
        <w:rPr>
          <w:b/>
        </w:rPr>
        <w:t>Ein technischer Standard</w:t>
      </w:r>
      <w:r>
        <w:t xml:space="preserve"> auf eIDAS-/EUDI-Wallet-Basis statt drei paralleler Standards.</w:t>
      </w:r>
    </w:p>
    <w:p>
      <w:pPr>
        <w:jc w:val="left"/>
      </w:pPr>
      <w:r>
        <w:t xml:space="preserve">c) </w:t>
      </w:r>
      <w:r>
        <w:rPr>
          <w:b/>
        </w:rPr>
        <w:t>Jährlicher Lebensbescheid</w:t>
      </w:r>
      <w:r>
        <w:t xml:space="preserve"> mit der Bilanzpublikation kombiniert; automatisches Heartbeat-Verfahren ohne aktive Bestätigungspflicht.</w:t>
      </w:r>
    </w:p>
    <w:p>
      <w:pPr>
        <w:jc w:val="left"/>
      </w:pPr>
      <w:r>
        <w:t xml:space="preserve">d) </w:t>
      </w:r>
      <w:r>
        <w:rPr>
          <w:b/>
        </w:rPr>
        <w:t>Differenzierte Pflichten</w:t>
      </w:r>
      <w:r>
        <w:t xml:space="preserve"> für KMU.</w:t>
      </w:r>
    </w:p>
    <w:p>
      <w:pPr>
        <w:jc w:val="left"/>
      </w:pPr>
      <w:r>
        <w:t xml:space="preserve">e) </w:t>
      </w:r>
      <w:r>
        <w:rPr>
          <w:b/>
        </w:rPr>
        <w:t>Zwangsgeld bis 5.000 EUR</w:t>
      </w:r>
      <w:r>
        <w:t xml:space="preserve"> statt 50.000 EUR; </w:t>
      </w:r>
      <w:r>
        <w:rPr>
          <w:b/>
        </w:rPr>
        <w:t>keine Loeschungs-Sanktion</w:t>
      </w:r>
      <w:r>
        <w:t>.</w:t>
      </w:r>
    </w:p>
    <w:p>
      <w:pPr>
        <w:jc w:val="left"/>
      </w:pPr>
      <w:r>
        <w:t xml:space="preserve">f) </w:t>
      </w:r>
      <w:r>
        <w:rPr>
          <w:b/>
        </w:rPr>
        <w:t>Anbindung an OZG / OZG 2.0</w:t>
      </w:r>
      <w:r>
        <w:t>.</w:t>
      </w:r>
    </w:p>
    <w:p>
      <w:pPr>
        <w:jc w:val="left"/>
      </w:pPr>
      <w:r>
        <w:t xml:space="preserve">g) </w:t>
      </w:r>
      <w:r>
        <w:rPr>
          <w:b/>
        </w:rPr>
        <w:t>Klarstellung des Verhältnisses zu Brüssel-Ia-VO und Niederlassungsfreiheit</w:t>
      </w:r>
      <w:r>
        <w:t>.</w:t>
      </w:r>
    </w:p>
    <w:p>
      <w:pPr>
        <w:jc w:val="left"/>
      </w:pPr>
      <w:r>
        <w:t xml:space="preserve">Bei Umsetzung dieser Empfehlungen reduziert sich der jährliche Erfuellungsaufwand voraussichtlich auf rund </w:t>
      </w:r>
      <w:r>
        <w:rPr>
          <w:b/>
        </w:rPr>
        <w:t>80 Mio EUR für die Wirtschaft</w:t>
      </w:r>
      <w:r>
        <w:t xml:space="preserve"> und auf rund </w:t>
      </w:r>
      <w:r>
        <w:rPr>
          <w:b/>
        </w:rPr>
        <w:t>45 Mio EUR für die Verwaltung</w:t>
      </w:r>
      <w:r>
        <w:t>.</w:t>
      </w:r>
    </w:p>
    <w:p/>
    <w:p>
      <w:pPr>
        <w:jc w:val="left"/>
      </w:pPr>
      <w:r>
        <w:rPr>
          <w:b/>
        </w:rPr>
        <w:t>(Stand V1 — wird zur Beschlussfassung des NKR am 22.05.2026 vorgelegt.)</w:t>
      </w:r>
    </w:p>
    <w:p>
      <w:pPr>
        <w:jc w:val="left"/>
      </w:pPr>
      <w:r>
        <w:t>Anlage: Berechnungsschema Erfuellungsaufwand (siehe Aktenstücke 06/07 sowie tabellen/zeitwerttabelle_und_fallzahlen.csv)</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