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Bezug zum NKR-Jahresbericht und Pressehinweis</w:t>
      </w:r>
    </w:p>
    <w:p>
      <w:pPr>
        <w:pStyle w:val="Heading2"/>
      </w:pPr>
      <w:r>
        <w:rPr>
          <w:rFonts w:ascii="Times New Roman" w:hAnsi="Times New Roman"/>
        </w:rPr>
        <w:t>Bezug zum Jahresbericht 2026</w:t>
      </w:r>
    </w:p>
    <w:p>
      <w:pPr>
        <w:jc w:val="left"/>
      </w:pPr>
      <w:r>
        <w:t xml:space="preserve">Die NKR-Stellungnahme zum ElErrHandRegG wird im </w:t>
      </w:r>
      <w:r>
        <w:rPr>
          <w:b/>
        </w:rPr>
        <w:t>Jahresbericht 2026</w:t>
      </w:r>
      <w:r>
        <w:t xml:space="preserve"> des NKR im Kapitel "Erfuellungsaufwand der Bundesgesetzgebung" als </w:t>
      </w:r>
      <w:r>
        <w:rPr>
          <w:b/>
        </w:rPr>
        <w:t>Fall-Beispiel</w:t>
      </w:r>
      <w:r>
        <w:t xml:space="preserve"> verwendet — sowohl als positives Erforderlichkeits-Beispiel ("Regulierung war nötig") als auch als kritisches Ausgestaltungs-Beispiel ("Drei Standards statt einer Lösung").</w:t>
      </w:r>
    </w:p>
    <w:p>
      <w:pPr>
        <w:jc w:val="left"/>
      </w:pPr>
      <w:r>
        <w:t>Verwendung im Jahresbericht:</w:t>
      </w:r>
    </w:p>
    <w:p>
      <w:pPr>
        <w:pStyle w:val="ListBullet"/>
      </w:pPr>
      <w:r>
        <w:t>Kapitel "Erfuellungsaufwand der Bundesgesetzgebung 2026"</w:t>
      </w:r>
    </w:p>
    <w:p>
      <w:pPr>
        <w:pStyle w:val="ListBullet"/>
      </w:pPr>
      <w:r>
        <w:t>Box "Was haben wir empfohlen, was wurde übernommen?"</w:t>
      </w:r>
    </w:p>
    <w:p>
      <w:pPr>
        <w:pStyle w:val="ListBullet"/>
      </w:pPr>
      <w:r>
        <w:t xml:space="preserve">Statistik "Stellungnahmen mit kritischem Ergebnis 2026: X von Y" — diese Stellungnahme zählt als </w:t>
      </w:r>
      <w:r>
        <w:rPr>
          <w:b/>
        </w:rPr>
        <w:t>kritische Bewertung</w:t>
      </w:r>
      <w:r>
        <w:t xml:space="preserve"> mit konkretem Änderungsvorschlag</w:t>
      </w:r>
    </w:p>
    <w:p>
      <w:pPr>
        <w:pStyle w:val="Heading2"/>
      </w:pPr>
      <w:r>
        <w:rPr>
          <w:rFonts w:ascii="Times New Roman" w:hAnsi="Times New Roman"/>
        </w:rPr>
        <w:t>Pressehinweis</w:t>
      </w:r>
    </w:p>
    <w:p>
      <w:pPr>
        <w:jc w:val="left"/>
      </w:pPr>
      <w:r>
        <w:rPr>
          <w:b/>
        </w:rPr>
        <w:t>Pressemitteilung NKR vom 28.05.2026:</w:t>
      </w:r>
    </w:p>
    <w:p>
      <w:pPr>
        <w:ind w:left="567"/>
      </w:pPr>
      <w:r>
        <w:rPr>
          <w:i/>
        </w:rPr>
        <w:t>Berlin, 28. Mai 2026.</w:t>
      </w:r>
    </w:p>
    <w:p>
      <w:pPr>
        <w:ind w:left="567"/>
      </w:pPr>
    </w:p>
    <w:p>
      <w:pPr>
        <w:ind w:left="567"/>
      </w:pPr>
      <w:r>
        <w:rPr>
          <w:i/>
        </w:rPr>
        <w:t>Der Nationale Normenkontrollrat hat heute seine Stellungnahme zum Referentenentwurf des Bundesjustizministeriums zur elektronischen Erreichbarkeit von Handelsregister-Gesellschaften eingereicht. Der NKR teilt das Regelungsanliegen — die elektronische Erreichbarkeit von Gesellschaften ist für eine effektive Justiz und einen modernen Wirtschaftsstandort wichtig. Er kritisiert jedoch die im Entwurf vorgesehene konkrete Ausgestaltung.</w:t>
      </w:r>
    </w:p>
    <w:p>
      <w:pPr>
        <w:ind w:left="567"/>
      </w:pPr>
    </w:p>
    <w:p>
      <w:pPr>
        <w:ind w:left="567"/>
      </w:pPr>
      <w:r>
        <w:rPr>
          <w:i/>
        </w:rPr>
        <w:t>Der NKR weist darauf hin, dass die geplante Lösung mit drei parallelen technischen Standards, monatlichen Lebensbescheiden und der Löschung aus dem Handelsregister als Sanktion einen Erfuellungsaufwand für die Wirtschaft von rund 320 Mio Euro jährlich und für die Verwaltung von rund 180 Mio Euro jährlich erzeugen würde — ein Vielfaches der ressort-eigenen Schätzung.</w:t>
      </w:r>
    </w:p>
    <w:p>
      <w:pPr>
        <w:ind w:left="567"/>
      </w:pPr>
    </w:p>
    <w:p>
      <w:pPr>
        <w:ind w:left="567"/>
      </w:pPr>
      <w:r>
        <w:rPr>
          <w:i/>
        </w:rPr>
        <w:t>Eine vom NKR empfohlene Alternative mit zentraler Architektur beim Bundesjustizamt und jährlichem statt monatlichem Bestätigungsverfahren würde das Regelungsziel mit etwa einem Viertel des Aufwands erreichen.</w:t>
      </w:r>
    </w:p>
    <w:p>
      <w:pPr>
        <w:pStyle w:val="Heading2"/>
      </w:pPr>
      <w:r>
        <w:rPr>
          <w:rFonts w:ascii="Times New Roman" w:hAnsi="Times New Roman"/>
        </w:rPr>
        <w:t>Hinweise für Folgekommunikation</w:t>
      </w:r>
    </w:p>
    <w:p>
      <w:pPr>
        <w:pStyle w:val="ListBullet"/>
      </w:pPr>
      <w:r>
        <w:rPr>
          <w:b/>
        </w:rPr>
        <w:t>Fachzeitschriften</w:t>
      </w:r>
      <w:r>
        <w:t>: NJW, NZG, ZIP — Kurz-Stellungnahme möglich.</w:t>
      </w:r>
    </w:p>
    <w:p>
      <w:pPr>
        <w:pStyle w:val="ListBullet"/>
      </w:pPr>
      <w:r>
        <w:rPr>
          <w:b/>
        </w:rPr>
        <w:t>Wirtschaftsverbände</w:t>
      </w:r>
      <w:r>
        <w:t>: BDI, Mittelstandsverband, DIHK — anonyme Kommunikation über Erfuellungsaufwand-Belastung.</w:t>
      </w:r>
    </w:p>
    <w:p>
      <w:pPr>
        <w:pStyle w:val="ListBullet"/>
      </w:pPr>
      <w:r>
        <w:rPr>
          <w:b/>
        </w:rPr>
        <w:t>Bundestag-Anhörung</w:t>
      </w:r>
      <w:r>
        <w:t>: Stellungnahme als Grundlage für NKR-Anhörung im Rechtsausschuss vorbereiten.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