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02 — B-Plan XV-43d „Spreepark Friedrichshain" — Textfestsetzungen</w:t>
      </w:r>
    </w:p>
    <w:p>
      <w:pPr>
        <w:jc w:val="left"/>
      </w:pPr>
      <w:r>
        <w:t>Bebauungsplan XV-43d „Spreepark Friedrichshain"</w:t>
      </w:r>
    </w:p>
    <w:p>
      <w:pPr>
        <w:jc w:val="left"/>
      </w:pPr>
      <w:r>
        <w:t>Bezirk Friedrichshain-Kreuzberg von Berlin</w:t>
      </w:r>
    </w:p>
    <w:p>
      <w:pPr>
        <w:jc w:val="left"/>
      </w:pPr>
      <w:r>
        <w:t>Satzungsbeschluss: 12. März 2026 · Bekanntmachung: 20. März 2026 · Amtsblatt Berlin Nr. 12/2026</w:t>
      </w:r>
    </w:p>
    <w:p/>
    <w:p>
      <w:pPr>
        <w:pStyle w:val="Heading2"/>
      </w:pPr>
      <w:r>
        <w:rPr>
          <w:rFonts w:ascii="Times New Roman" w:hAnsi="Times New Roman"/>
        </w:rPr>
        <w:t>A. Plangebiet</w:t>
      </w:r>
    </w:p>
    <w:p>
      <w:pPr>
        <w:jc w:val="left"/>
      </w:pPr>
      <w:r>
        <w:t>Das Plangebiet umfasst eine Fläche von ca. 2,4 ha zwischen Spreeuferweg im Norden, der S-Bahn-Trasse (S3/S5/S7/S9) im Osten, dem Stadtteilpark Friedrichshain-Mitte im Westen und der Spree im Süden. Es befindet sich im Geltungsbereich des Bezirks Friedrichshain-Kreuzberg.</w:t>
      </w:r>
    </w:p>
    <w:p>
      <w:pPr>
        <w:jc w:val="left"/>
      </w:pPr>
      <w:r>
        <w:t>Flurstücke (Auszug): 182/3, 183, 184/1, 184/2, 185, 186/1, Gemarkung Friedrichshain.</w:t>
      </w:r>
    </w:p>
    <w:p/>
    <w:p>
      <w:pPr>
        <w:pStyle w:val="Heading2"/>
      </w:pPr>
      <w:r>
        <w:rPr>
          <w:rFonts w:ascii="Times New Roman" w:hAnsi="Times New Roman"/>
        </w:rPr>
        <w:t>B. Art der baulichen Nutzung (§§ 1–11 BauNVO)</w:t>
      </w:r>
    </w:p>
    <w:p>
      <w:pPr>
        <w:jc w:val="left"/>
      </w:pPr>
      <w:r>
        <w:rPr>
          <w:b/>
        </w:rPr>
        <w:t>B-1 Allgemeines Wohngebiet (WA)</w:t>
      </w:r>
    </w:p>
    <w:p>
      <w:pPr>
        <w:jc w:val="left"/>
      </w:pPr>
      <w:r>
        <w:t>Das Plangebiet wird als Allgemeines Wohngebiet (WA) gem. § 4 BauNVO festgesetzt.</w:t>
      </w:r>
    </w:p>
    <w:p>
      <w:pPr>
        <w:jc w:val="left"/>
      </w:pPr>
      <w:r>
        <w:t>Ausnahmsweise zulässig sind:</w:t>
      </w:r>
    </w:p>
    <w:p>
      <w:pPr>
        <w:pStyle w:val="ListBullet"/>
      </w:pPr>
      <w:r>
        <w:t>Läden und nicht störende Handwerksbetriebe (§ 4 Abs. 3 Nr. 2 BauNVO)</w:t>
      </w:r>
    </w:p>
    <w:p>
      <w:pPr>
        <w:pStyle w:val="ListBullet"/>
      </w:pPr>
      <w:r>
        <w:t>Anlagen für Verwaltungen (§ 4 Abs. 3 Nr. 3 BauNVO)</w:t>
      </w:r>
    </w:p>
    <w:p>
      <w:pPr>
        <w:jc w:val="left"/>
      </w:pPr>
      <w:r>
        <w:t>Nicht zulässig sind:</w:t>
      </w:r>
    </w:p>
    <w:p>
      <w:pPr>
        <w:pStyle w:val="ListBullet"/>
      </w:pPr>
      <w:r>
        <w:t>Betriebe des Beherbergungsgewerbes (§ 4 Abs. 3 Nr. 1 BauNVO, ausgeschlossen)</w:t>
      </w:r>
    </w:p>
    <w:p>
      <w:pPr>
        <w:pStyle w:val="ListBullet"/>
      </w:pPr>
      <w:r>
        <w:t>Anlagen für kirchliche, kulturelle und sportliche Zwecke mit überörtlicher Wirkung</w:t>
      </w:r>
    </w:p>
    <w:p/>
    <w:p>
      <w:pPr>
        <w:pStyle w:val="Heading2"/>
      </w:pPr>
      <w:r>
        <w:rPr>
          <w:rFonts w:ascii="Times New Roman" w:hAnsi="Times New Roman"/>
        </w:rPr>
        <w:t>C. Maß der baulichen Nutzung (§§ 16–21a BauNVO)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Parameter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Festsetzung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Grundflächenzahl (GRZ)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0,4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Geschossflächenzahl (GFZ)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2,4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Zahl der Vollgeschosse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VIII (8)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Höhe Oberkante Rohdecke max.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26,0 m über Gehweg</w:t>
            </w:r>
          </w:p>
        </w:tc>
      </w:tr>
    </w:tbl>
    <w:p>
      <w:pPr>
        <w:jc w:val="left"/>
      </w:pPr>
      <w:r>
        <w:t>Überschreitung der GRZ gem. § 19 Abs. 4 BauNVO durch Tiefgarage bis max. 0,8 zulässig.</w:t>
      </w:r>
    </w:p>
    <w:p/>
    <w:p>
      <w:pPr>
        <w:pStyle w:val="Heading2"/>
      </w:pPr>
      <w:r>
        <w:rPr>
          <w:rFonts w:ascii="Times New Roman" w:hAnsi="Times New Roman"/>
        </w:rPr>
        <w:t>D. Bauweise, Baulinien, Baugrenzen (§§ 22–23 BauNVO)</w:t>
      </w:r>
    </w:p>
    <w:p>
      <w:pPr>
        <w:jc w:val="left"/>
      </w:pPr>
      <w:r>
        <w:t>Geschlossene Bauweise (§ 22 Abs. 3 BauNVO). Baugrenzen gem. Planzeichnung; Bautiefe max. 18 m (Straßenfront), max. 14 m (Hofseite). Mindestabstand zur Spreeuferböschung: 5,0 m (Baulinie).</w:t>
      </w:r>
    </w:p>
    <w:p/>
    <w:p>
      <w:pPr>
        <w:pStyle w:val="Heading2"/>
      </w:pPr>
      <w:r>
        <w:rPr>
          <w:rFonts w:ascii="Times New Roman" w:hAnsi="Times New Roman"/>
        </w:rPr>
        <w:t>E. Flächen für den Gemeinbedarf / Grünflächen</w:t>
      </w:r>
    </w:p>
    <w:p>
      <w:pPr>
        <w:jc w:val="left"/>
      </w:pPr>
      <w:r>
        <w:rPr>
          <w:b/>
        </w:rPr>
        <w:t>E-1</w:t>
      </w:r>
      <w:r>
        <w:t>: Fläche für Spielplatz (§ 9 Abs. 1 Nr. 21 BauGB): 480 m², Lage: südöstliche Teilfläche gem. Planzeichnung.</w:t>
      </w:r>
    </w:p>
    <w:p>
      <w:pPr>
        <w:jc w:val="left"/>
      </w:pPr>
      <w:r>
        <w:rPr>
          <w:b/>
        </w:rPr>
        <w:t>E-2</w:t>
      </w:r>
      <w:r>
        <w:t>: Private Grünfläche (§ 9 Abs. 1 Nr. 15 BauGB): Mindestanteil 15 % der Grundstücksfläche als nicht versiegelte Vegetationsfläche.</w:t>
      </w:r>
    </w:p>
    <w:p>
      <w:pPr>
        <w:jc w:val="left"/>
      </w:pPr>
      <w:r>
        <w:t>Die bisherige öffentliche Grünfläche (Spreeuferpark) wird vollständig als Wohnbauland überplant. Ersatzgrünfläche wurde nicht festgesetzt.</w:t>
      </w:r>
    </w:p>
    <w:p/>
    <w:p>
      <w:pPr>
        <w:pStyle w:val="Heading2"/>
      </w:pPr>
      <w:r>
        <w:rPr>
          <w:rFonts w:ascii="Times New Roman" w:hAnsi="Times New Roman"/>
        </w:rPr>
        <w:t>F. Verkehrsflächen (§ 9 Abs. 1 Nr. 11 BauGB)</w:t>
      </w:r>
    </w:p>
    <w:p>
      <w:pPr>
        <w:jc w:val="left"/>
      </w:pPr>
      <w:r>
        <w:t>Erschließungsstraße „Spreeuferpfad" (neu): Breite 7,5 m, einseitiger Gehweg 2,0 m. Zufahrt von Warnitzer Straße (Norden).</w:t>
      </w:r>
    </w:p>
    <w:p>
      <w:pPr>
        <w:jc w:val="left"/>
      </w:pPr>
      <w:r>
        <w:t>Öffentliche Verkehrsfläche besonderer Zweckbestimmung: Fußweg entlang Spreeufer, Breite 3,0 m (öffentlich gewidmet).</w:t>
      </w:r>
    </w:p>
    <w:p/>
    <w:p>
      <w:pPr>
        <w:pStyle w:val="Heading2"/>
      </w:pPr>
      <w:r>
        <w:rPr>
          <w:rFonts w:ascii="Times New Roman" w:hAnsi="Times New Roman"/>
        </w:rPr>
        <w:t>G. Stellplätze und Garagen (§ 9 Abs. 1 Nr. 22 BauGB i.V.m. BerlStrG)</w:t>
      </w:r>
    </w:p>
    <w:p>
      <w:pPr>
        <w:jc w:val="left"/>
      </w:pPr>
      <w:r>
        <w:t>Stellplatzschlüssel: 0,7 Stellplätze je Wohneinheit. Tiefgarage unter Baufeld 1 und 2; max. Zufahrtsbreite Einzel-TG: 6,0 m.</w:t>
      </w:r>
    </w:p>
    <w:p>
      <w:pPr>
        <w:jc w:val="left"/>
      </w:pPr>
      <w:r>
        <w:t>Fahrradabstellanlagen: 2 Stellplätze je Wohneinheit (§ 50 Abs. 1 BerlBO).</w:t>
      </w:r>
    </w:p>
    <w:p/>
    <w:p>
      <w:pPr>
        <w:pStyle w:val="Heading2"/>
      </w:pPr>
      <w:r>
        <w:rPr>
          <w:rFonts w:ascii="Times New Roman" w:hAnsi="Times New Roman"/>
        </w:rPr>
        <w:t>H. Umweltrelevante Festsetzungen</w:t>
      </w:r>
    </w:p>
    <w:p>
      <w:pPr>
        <w:jc w:val="left"/>
      </w:pPr>
      <w:r>
        <w:rPr>
          <w:b/>
        </w:rPr>
        <w:t>H-1 Dachbegrünung</w:t>
      </w:r>
      <w:r>
        <w:t>: Flachdächer und Dachflächen mit Neigung bis 15° sind mind. zu 60 % extensiv zu begrünen (Substratdicke mind. 8 cm).</w:t>
      </w:r>
    </w:p>
    <w:p>
      <w:pPr>
        <w:jc w:val="left"/>
      </w:pPr>
      <w:r>
        <w:rPr>
          <w:b/>
        </w:rPr>
        <w:t>H-2 Artenschutz</w:t>
      </w:r>
      <w:r>
        <w:t>: CEF-Maßnahme für Zauneidechse (Lacerta agilis): Ersatzhabitat mind. 800 m² auf Ausgleichsfläche „Rummelsburger Heide" (Lage außerhalb Plangebiet; vertragliche Sicherung durch städtebaulichen Vertrag mit Bauland Spreepark GmbH).</w:t>
      </w:r>
    </w:p>
    <w:p>
      <w:pPr>
        <w:jc w:val="left"/>
      </w:pPr>
      <w:r>
        <w:rPr>
          <w:b/>
        </w:rPr>
        <w:t>H-3 Lärmschutz</w:t>
      </w:r>
      <w:r>
        <w:t>: Passive Lärmschutzmaßnahmen (Schallschutzfenster) mind. Schallschutzklasse 3 (Rw mind. 35 dB) für Fassaden zum S-Bahn-Damm (Ost).</w:t>
      </w:r>
    </w:p>
    <w:p>
      <w:pPr>
        <w:jc w:val="left"/>
      </w:pPr>
      <w:r>
        <w:rPr>
          <w:b/>
        </w:rPr>
        <w:t>H-4 Niederschlagswasser</w:t>
      </w:r>
      <w:r>
        <w:t>: Versickerung auf dem Grundstück soweit technisch möglich; gedrosselte Einleitung in Mischwasserkanalisation max. 5 l/(s·ha).</w:t>
      </w:r>
    </w:p>
    <w:p/>
    <w:p>
      <w:pPr>
        <w:pStyle w:val="Heading2"/>
      </w:pPr>
      <w:r>
        <w:rPr>
          <w:rFonts w:ascii="Times New Roman" w:hAnsi="Times New Roman"/>
        </w:rPr>
        <w:t>I. Sonstige Festsetzungen</w:t>
      </w:r>
    </w:p>
    <w:p>
      <w:pPr>
        <w:jc w:val="left"/>
      </w:pPr>
      <w:r>
        <w:t>Leitungsrecht (§ 9 Abs. 1 Nr. 21 BauGB): Freihaltung Bestandsleitung Fernwärme entlang nördlicher Grenze, Breite 3,0 m.</w:t>
      </w:r>
    </w:p>
    <w:p>
      <w:pPr>
        <w:jc w:val="left"/>
      </w:pPr>
      <w:r>
        <w:t>Anpflanzgebot (§ 9 Abs. 1 Nr. 25a BauGB): Je 50 m² Wohngeschossfläche ist ein standortgerechter Laubbaum zu pflanzen; Stammumfang mind. 18–20 cm.</w:t>
      </w:r>
    </w:p>
    <w:p/>
    <w:p>
      <w:pPr>
        <w:pStyle w:val="Heading2"/>
      </w:pPr>
      <w:r>
        <w:rPr>
          <w:rFonts w:ascii="Times New Roman" w:hAnsi="Times New Roman"/>
        </w:rPr>
        <w:t>J. Rechtsgrundlagen</w:t>
      </w:r>
    </w:p>
    <w:p>
      <w:pPr>
        <w:jc w:val="left"/>
      </w:pPr>
      <w:r>
        <w:t>Festgesetzt aufgrund von §§ 8–10 BauGB i.V.m. BauNVO in der Fassung der Bekanntmachung vom 21.11.2017. Bebauungsplan wird Bestandteil des Stadtentwicklungsplans Wohnen Berlin 2030.</w:t>
      </w:r>
    </w:p>
    <w:p>
      <w:pPr>
        <w:jc w:val="left"/>
      </w:pPr>
      <w:r>
        <w:t>Hinweis: Zur Unbeachtlichkeit von Verfahrens- und Formfehlern vgl. § 214 BauGB; zur Rügepflicht vgl. § 215 BauGB (Frist: 1 Jahr ab Bekanntmachung).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