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B-Plan XV-43d „Spreepark Friedrichshain" — Begründung (Auszug und Analyse)</w:t>
      </w:r>
    </w:p>
    <w:p>
      <w:pPr>
        <w:jc w:val="left"/>
      </w:pPr>
      <w:r>
        <w:t>Bebauungsplan XV-43d · Begründung gem. § 9 Abs. 8 BauGB</w:t>
      </w:r>
    </w:p>
    <w:p>
      <w:pPr>
        <w:jc w:val="left"/>
      </w:pPr>
      <w:r>
        <w:t>Stand: Satzungsbeschluss 12. März 2026</w:t>
      </w:r>
    </w:p>
    <w:p/>
    <w:p>
      <w:pPr>
        <w:pStyle w:val="Heading2"/>
      </w:pPr>
      <w:r>
        <w:rPr>
          <w:rFonts w:ascii="Times New Roman" w:hAnsi="Times New Roman"/>
        </w:rPr>
        <w:t>1. Planungsziele und städtebauliche Erforderlichkeit (§ 1 Abs. 3 BauGB)</w:t>
      </w:r>
    </w:p>
    <w:p>
      <w:pPr>
        <w:jc w:val="left"/>
      </w:pPr>
      <w:r>
        <w:t>Das Bezirksamt Friedrichshain-Kreuzberg begründet die Aufstellung des B-Plans XV-43d mit dem Berliner Wohnungsmangel. Nach dem Stadtentwicklungsplan Wohnen (StEP Wohnen) 2030 fehlen im Bezirk rd. 12.000 Wohneinheiten. Das Plangebiet — bisher Fläche des ehemaligen Spreeparks (überwiegend brachgefallene, nicht unterhaltene Grünfläche) — eigne sich aufgrund der guten ÖPNV-Anbindung (S-Bahn, U1) und der Innenstadtnähe besonders für Wohnbauland.</w:t>
      </w:r>
    </w:p>
    <w:p>
      <w:pPr>
        <w:jc w:val="left"/>
      </w:pPr>
      <w:r>
        <w:t>Die städtebauliche Erforderlichkeit (§ 1 Abs. 3 BauGB) wird bejaht: Das Bezirksamt verweist auf den städtebaulichen Vertrag mit der Bauland Spreepark GmbH, wonach 30 % der Wohneinheiten als geförderter Wohnungsbau (WBS-pflichtig) errichtet werden.</w:t>
      </w:r>
    </w:p>
    <w:p>
      <w:pPr>
        <w:pStyle w:val="Heading3"/>
      </w:pPr>
      <w:r>
        <w:rPr>
          <w:rFonts w:ascii="Times New Roman" w:hAnsi="Times New Roman"/>
        </w:rPr>
        <w:t>Kritische Würdigung</w:t>
      </w:r>
    </w:p>
    <w:p>
      <w:pPr>
        <w:jc w:val="left"/>
      </w:pPr>
      <w:r>
        <w:t>Die Begründung lässt unberücksichtigt, dass § 1 Abs. 3 BauGB zwar eine städtebauliche Rechtfertigung verlangt, aber kein Planungserfordernis begründet, das zwingend gerade diese Fläche in Anspruch nimmt. Alternativstandorte wurden in der Begründung nicht ernsthaft geprüft (Alternativenprüfung nur auf zwei Seiten, ohne Eignungsmatrix). Das BVerwG hat betont, dass die Abwägung der Belange des § 1 Abs. 6 BauGB nicht durch eine bloße Verknüpfung mit dem allgemeinen Wohnungsbedarfs-Argument ersetzt werden kann (BVerwG, Urt. v. 05.07.1974 — IV C 50.72, BVerwGE 45, 309).</w:t>
      </w:r>
    </w:p>
    <w:p/>
    <w:p>
      <w:pPr>
        <w:pStyle w:val="Heading2"/>
      </w:pPr>
      <w:r>
        <w:rPr>
          <w:rFonts w:ascii="Times New Roman" w:hAnsi="Times New Roman"/>
        </w:rPr>
        <w:t>2. Abwägungsdarstellung (§ 1 Abs. 7 BauGB)</w:t>
      </w:r>
    </w:p>
    <w:p>
      <w:pPr>
        <w:pStyle w:val="Heading3"/>
      </w:pPr>
      <w:r>
        <w:rPr>
          <w:rFonts w:ascii="Times New Roman" w:hAnsi="Times New Roman"/>
        </w:rPr>
        <w:t>2.1 Grünflächenversorgung und Naherholung</w:t>
      </w:r>
    </w:p>
    <w:p>
      <w:pPr>
        <w:jc w:val="left"/>
      </w:pPr>
      <w:r>
        <w:t>Die Begründung anerkennt auf S. 47, dass das Plangebiet bislang als informelle Naherholungsfläche genutzt wird, bewertet den Verlust jedoch als „zumutbar", da im Umkreis von 500 m der Volkspark Friedrichshain (52 ha) vorhanden sei. Eine Versorgungsanalyse im Sinne des „Berliner Modell der kooperativen Baulandentwicklung" oder anerkannter Freiflächenrichtwerte (0,06 m²/EW Wohngebiet) wurde nicht durchgeführt.</w:t>
      </w:r>
    </w:p>
    <w:p>
      <w:pPr>
        <w:jc w:val="left"/>
      </w:pPr>
      <w:r>
        <w:t>Defizit: Die tatsächliche Nutzungsfrequenz und die spezifische Funktion des Spreeuferparks (einzige Uferwegeverbindung in diesem Abschnitt) wurden nicht ermittelt (§ 2 Abs. 3 BauGB).</w:t>
      </w:r>
    </w:p>
    <w:p>
      <w:pPr>
        <w:pStyle w:val="Heading3"/>
      </w:pPr>
      <w:r>
        <w:rPr>
          <w:rFonts w:ascii="Times New Roman" w:hAnsi="Times New Roman"/>
        </w:rPr>
        <w:t>2.2 Klimaanpassung und Hitzeinsel</w:t>
      </w:r>
    </w:p>
    <w:p>
      <w:pPr>
        <w:jc w:val="left"/>
      </w:pPr>
      <w:r>
        <w:t>Klimatische Belange sind in § 1 Abs. 6 Nr. 7h BauGB ausdrücklich normiert. Die Begründung enthält auf S. 52 lediglich den Hinweis auf die Dachbegrünung (Festsetzung H-1) und verweist auf das Berliner Klimaschutzprogramm 2030, ohne eine konkrete Klimaanalyse für das Plangebiet vorzulegen. Eine Untersuchung der Kaltluftschneise Spree und der Wärmebelastung der umliegenden Wohnbebauung fehlt vollständig.</w:t>
      </w:r>
    </w:p>
    <w:p>
      <w:pPr>
        <w:pStyle w:val="Heading3"/>
      </w:pPr>
      <w:r>
        <w:rPr>
          <w:rFonts w:ascii="Times New Roman" w:hAnsi="Times New Roman"/>
        </w:rPr>
        <w:t>2.3 Soziale Belange (§ 1 Abs. 6 Nr. 2 BauGB)</w:t>
      </w:r>
    </w:p>
    <w:p>
      <w:pPr>
        <w:jc w:val="left"/>
      </w:pPr>
      <w:r>
        <w:t>Die Begründung nennt auf S. 54 die 30-%-WBS-Quote als Beitrag zur sozialen Mischung. Eine Analyse der Auswirkungen auf die Mietpreise im Umfeld (mittlerer Mietpreisspiegel Friedrichshain: 16,20 EUR/m²) und des Verdrängungsrisikos unterbleibt. Das BVerwG hat den Belang der sozialen Verträglichkeit als eigenständig abwägungsrelevant eingestuft (BVerwG, Beschl. v. 09.11.1979 — 4 N 1.78).</w:t>
      </w:r>
    </w:p>
    <w:p>
      <w:pPr>
        <w:pStyle w:val="Heading3"/>
      </w:pPr>
      <w:r>
        <w:rPr>
          <w:rFonts w:ascii="Times New Roman" w:hAnsi="Times New Roman"/>
        </w:rPr>
        <w:t>2.4 Artenschutz (§ 1 Abs. 6 Nr. 7a BauGB)</w:t>
      </w:r>
    </w:p>
    <w:p>
      <w:pPr>
        <w:jc w:val="left"/>
      </w:pPr>
      <w:r>
        <w:t>Die Begründung verweist auf das Artenschutzgutachten (Büro Grünplan GmbH, August 2024) und die Festsetzung H-2 (CEF-Maßnahme Zauneidechse). Defizite sind insoweit, als das Gutachten 17 Monate vor Satzungsbeschluss erstellt wurde und keine aktualisierten Bestandserhebungen enthält (vgl. Aktenstück 09).</w:t>
      </w:r>
    </w:p>
    <w:p>
      <w:pPr>
        <w:pStyle w:val="Heading3"/>
      </w:pPr>
      <w:r>
        <w:rPr>
          <w:rFonts w:ascii="Times New Roman" w:hAnsi="Times New Roman"/>
        </w:rPr>
        <w:t>2.5 Lärmschutz (§ 1 Abs. 6 Nr. 1 BauGB)</w:t>
      </w:r>
    </w:p>
    <w:p>
      <w:pPr>
        <w:jc w:val="left"/>
      </w:pPr>
      <w:r>
        <w:t>Die schalltechnische Untersuchung (Büro Akustik-Consult, Oktober 2024) kommt zu dem Ergebnis, dass mit passivem Schallschutz (Festsetzung H-3) die Orientierungswerte der DIN 18005 eingehalten werden. Methodische Defizite (Prognosezeitraum, Grundgeräuschpegel) sind in Aktenstück 10 aufgeführt.</w:t>
      </w:r>
    </w:p>
    <w:p/>
    <w:p>
      <w:pPr>
        <w:pStyle w:val="Heading2"/>
      </w:pPr>
      <w:r>
        <w:rPr>
          <w:rFonts w:ascii="Times New Roman" w:hAnsi="Times New Roman"/>
        </w:rPr>
        <w:t>3. Umweltbericht (§ 2 Abs. 4 i.V.m. Anlage 1 BauGB)</w:t>
      </w:r>
    </w:p>
    <w:p>
      <w:pPr>
        <w:jc w:val="left"/>
      </w:pPr>
      <w:r>
        <w:t>Der Umweltbericht (Anlage zur Begründung, 68 Seiten) wurde von der Grünplan GmbH erstellt. Er enthält Schutzgutbetrachtungen (Boden, Wasser, Klima, Fauna/Flora, Landschaftsbild, Mensch), bleibt aber bei der Eingriffsregelung (§§ 14–18 BNatSchG) methodisch hinter den Anforderungen zurück (Näheres Aktenstück 08).</w:t>
      </w:r>
    </w:p>
    <w:p/>
    <w:p>
      <w:pPr>
        <w:pStyle w:val="Heading2"/>
      </w:pPr>
      <w:r>
        <w:rPr>
          <w:rFonts w:ascii="Times New Roman" w:hAnsi="Times New Roman"/>
        </w:rPr>
        <w:t>4. Anmerkungen der Kanzlei</w:t>
      </w:r>
    </w:p>
    <w:p>
      <w:pPr>
        <w:jc w:val="left"/>
      </w:pPr>
      <w:r>
        <w:t>Die Begründung des B-Plans weist folgende Defizite auf, die im Normenkontrollverfahren zu rügen sind:</w:t>
      </w:r>
    </w:p>
    <w:p>
      <w:pPr>
        <w:pStyle w:val="ListBullet"/>
      </w:pPr>
      <w:r>
        <w:t>Keine hinreichende Ermittlung der Betroffenheit der Naherholungsfunktion (§ 2 Abs. 3 BauGB).</w:t>
      </w:r>
    </w:p>
    <w:p>
      <w:pPr>
        <w:pStyle w:val="ListBullet"/>
      </w:pPr>
      <w:r>
        <w:t>Kein Abwägungsprotokoll zu den Alternativstandorten.</w:t>
      </w:r>
    </w:p>
    <w:p>
      <w:pPr>
        <w:pStyle w:val="ListBullet"/>
      </w:pPr>
      <w:r>
        <w:t>Unzureichende Auseinandersetzung mit dem Verlust der letzten öffentlichen Ufergrünfläche in diesem Spreeuferabschnitt.</w:t>
      </w:r>
    </w:p>
    <w:p>
      <w:pPr>
        <w:pStyle w:val="ListBullet"/>
      </w:pPr>
      <w:r>
        <w:t>Soziale Folgekosten (Wohnumfeld, Infrastrukturbelastung) nicht benannt.</w:t>
      </w:r>
    </w:p>
    <w:p>
      <w:pPr>
        <w:pStyle w:val="ListBullet"/>
      </w:pPr>
      <w:r>
        <w:t>Klimatische Auswirkungen auf Nachbarbebauung nicht untersucht.</w:t>
      </w:r>
    </w:p>
    <w:p>
      <w:pPr>
        <w:jc w:val="left"/>
      </w:pPr>
      <w:r>
        <w:t>Quellen: dejure.org (§ 1 BauGB, § 2 BauGB); BVerwG, Urt. v. 05.07.1974 — IV C 50.72, BVerwGE 45, 309 (abrufbar unter bundesverwaltungsgericht.de).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