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Aufstellungsbeschluss BVV Friedrichshain-Kreuzberg — Bekanntmachungsmangel</w:t>
      </w:r>
    </w:p>
    <w:p>
      <w:pPr>
        <w:jc w:val="left"/>
      </w:pPr>
      <w:r>
        <w:t>Bezirksverordnetenversammlung Friedrichshain-Kreuzberg</w:t>
      </w:r>
    </w:p>
    <w:p>
      <w:pPr>
        <w:jc w:val="left"/>
      </w:pPr>
      <w:r>
        <w:t>Beschluss-Nr. BVV FK-2022/0247</w:t>
      </w:r>
    </w:p>
    <w:p>
      <w:pPr>
        <w:jc w:val="left"/>
      </w:pPr>
      <w:r>
        <w:t>Beschluss: 14. Juni 2022</w:t>
      </w:r>
    </w:p>
    <w:p/>
    <w:p>
      <w:pPr>
        <w:pStyle w:val="Heading2"/>
      </w:pPr>
      <w:r>
        <w:rPr>
          <w:rFonts w:ascii="Times New Roman" w:hAnsi="Times New Roman"/>
        </w:rPr>
        <w:t>1. Beschlussinhalt</w:t>
      </w:r>
    </w:p>
    <w:p>
      <w:pPr>
        <w:jc w:val="left"/>
      </w:pPr>
      <w:r>
        <w:t>Die Bezirksverordnetenversammlung Friedrichshain-Kreuzberg beschloss am 14.06.2022 mit 25 zu 18 Stimmen die Aufstellung des Bebauungsplans XV-43d „Spreepark Friedrichshain" gem. § 2 Abs. 1 Satz 1 BauGB. Das Bezirksamt wurde beauftragt, das Aufstellungsverfahren einzuleiten.</w:t>
      </w:r>
    </w:p>
    <w:p/>
    <w:p>
      <w:pPr>
        <w:pStyle w:val="Heading2"/>
      </w:pPr>
      <w:r>
        <w:rPr>
          <w:rFonts w:ascii="Times New Roman" w:hAnsi="Times New Roman"/>
        </w:rPr>
        <w:t>2. Bekanntmachungsanforderungen (§ 2 Abs. 1 Satz 2 BauGB)</w:t>
      </w:r>
    </w:p>
    <w:p>
      <w:pPr>
        <w:jc w:val="left"/>
      </w:pPr>
      <w:r>
        <w:t>Nach § 2 Abs. 1 Satz 2 BauGB ist der Beschluss, einen Bebauungsplan aufzustellen, ortsüblich bekanntzumachen. In Berlin richtet sich die ortsübliche Bekanntmachung nach § 5 AGBauGB Bln i.V.m. § 41 BerlBO: Die Bekanntmachung hat im Amtsblatt für Berlin zu erfolgen.</w:t>
      </w:r>
    </w:p>
    <w:p/>
    <w:p>
      <w:pPr>
        <w:pStyle w:val="Heading2"/>
      </w:pPr>
      <w:r>
        <w:rPr>
          <w:rFonts w:ascii="Times New Roman" w:hAnsi="Times New Roman"/>
        </w:rPr>
        <w:t>3. Tatsächliche Bekanntmachung — Mängel</w:t>
      </w:r>
    </w:p>
    <w:p>
      <w:pPr>
        <w:jc w:val="left"/>
      </w:pPr>
      <w:r>
        <w:t xml:space="preserve">Das Bezirksamt veröffentlichte den Aufstellungsbeschluss am </w:t>
      </w:r>
      <w:r>
        <w:rPr>
          <w:b/>
        </w:rPr>
        <w:t>30. August 2022</w:t>
      </w:r>
      <w:r>
        <w:t xml:space="preserve"> im Amtsblatt Berlin Nr. 35/2022, S. 2241. Die Veröffentlichung weist folgende Mängel auf:</w:t>
      </w:r>
    </w:p>
    <w:p>
      <w:pPr>
        <w:pStyle w:val="Heading3"/>
      </w:pPr>
      <w:r>
        <w:rPr>
          <w:rFonts w:ascii="Times New Roman" w:hAnsi="Times New Roman"/>
        </w:rPr>
        <w:t>Mangel 1 — Unzureichende Plangebietsabgrenzung</w:t>
      </w:r>
    </w:p>
    <w:p>
      <w:pPr>
        <w:jc w:val="left"/>
      </w:pPr>
      <w:r>
        <w:t>Die Bekanntmachung vom 30.08.2022 bezeichnet das Plangebiet lediglich als „Bereich südlich der S-Bahn-Trasse, nördlich der Spree, Bezirk Friedrichshain-Kreuzberg". Eine parzellenscharfe Abgrenzung oder Lagekarte war der Veröffentlichung nicht beigefügt und wurde auch nicht durch Verweis auf das Stadtinformationssystem FIS-Broker zugänglich gemacht.</w:t>
      </w:r>
    </w:p>
    <w:p>
      <w:pPr>
        <w:jc w:val="left"/>
      </w:pPr>
      <w:r>
        <w:t>Das OVG Berlin-Brandenburg hat für vergleichbare Fälle entschieden, dass eine Bekanntmachung, die das Plangebiet nicht hinreichend bestimmt beschreibt, den Anforderungen des § 2 Abs. 1 Satz 2 BauGB nicht genügt (OVG Berlin-Brandenburg, Urt. v. 11.02.2010 — 10 A 7.08).</w:t>
      </w:r>
    </w:p>
    <w:p>
      <w:pPr>
        <w:pStyle w:val="Heading3"/>
      </w:pPr>
      <w:r>
        <w:rPr>
          <w:rFonts w:ascii="Times New Roman" w:hAnsi="Times New Roman"/>
        </w:rPr>
        <w:t>Mangel 2 — Fehlende Information über Beteiligungsmöglichkeiten</w:t>
      </w:r>
    </w:p>
    <w:p>
      <w:pPr>
        <w:jc w:val="left"/>
      </w:pPr>
      <w:r>
        <w:t>Die Bekanntmachung enthält keinen Hinweis darauf, wo und wann Bürgerinnen und Bürger im Rahmen der frühzeitigen Beteiligung (§ 3 Abs. 1 BauGB) Stellung nehmen können. Eine Information über die geplante Auftaktveranstaltung fehlte.</w:t>
      </w:r>
    </w:p>
    <w:p>
      <w:pPr>
        <w:pStyle w:val="Heading3"/>
      </w:pPr>
      <w:r>
        <w:rPr>
          <w:rFonts w:ascii="Times New Roman" w:hAnsi="Times New Roman"/>
        </w:rPr>
        <w:t>Mangel 3 — Zeitliche Verzögerung</w:t>
      </w:r>
    </w:p>
    <w:p>
      <w:pPr>
        <w:jc w:val="left"/>
      </w:pPr>
      <w:r>
        <w:t>Der Aufstellungsbeschluss wurde am 14.06.2022 gefasst; die Bekanntmachung erfolgte erst am 30.08.2022 (77 Tage später). Obwohl § 2 Abs. 1 BauGB keine Frist nennt, hat das BVerwG festgestellt, dass eine Bekanntmachung „unverzüglich" zu erfolgen hat, um die Warnfunktion gegenüber dem Rechtsverkehr zu erfüllen (BVerwG, Beschl. v. 22.09.2000 — 4 BN 43.00).</w:t>
      </w:r>
    </w:p>
    <w:p/>
    <w:p>
      <w:pPr>
        <w:pStyle w:val="Heading2"/>
      </w:pPr>
      <w:r>
        <w:rPr>
          <w:rFonts w:ascii="Times New Roman" w:hAnsi="Times New Roman"/>
        </w:rPr>
        <w:t>4. Rechtsfolgen des Bekanntmachungsmangels</w:t>
      </w:r>
    </w:p>
    <w:p>
      <w:pPr>
        <w:pStyle w:val="Heading3"/>
      </w:pPr>
      <w:r>
        <w:rPr>
          <w:rFonts w:ascii="Times New Roman" w:hAnsi="Times New Roman"/>
        </w:rPr>
        <w:t>Heilbarkeit nach § 214 BauGB</w:t>
      </w:r>
    </w:p>
    <w:p>
      <w:pPr>
        <w:jc w:val="left"/>
      </w:pPr>
      <w:r>
        <w:t>§ 214 Abs. 1 Satz 1 Nr. 2 BauGB erklärt Verletzungen der Vorschriften über die Bekanntmachung des Aufstellungsbeschlusses grundsätzlich für erheblich, wenn sie beachtlich und nicht nach § 215 BauGB unbeachtlich geworden sind.</w:t>
      </w:r>
    </w:p>
    <w:p>
      <w:pPr>
        <w:jc w:val="left"/>
      </w:pPr>
      <w:r>
        <w:t>Die BI hat die Bekanntmachungsmängel fristgerecht nach § 215 BauGB gerügt (Rügeschreiben v. 28.03.2026, eingegangen beim Bezirksamt 29.03.2026).</w:t>
      </w:r>
    </w:p>
    <w:p>
      <w:pPr>
        <w:pStyle w:val="Heading3"/>
      </w:pPr>
      <w:r>
        <w:rPr>
          <w:rFonts w:ascii="Times New Roman" w:hAnsi="Times New Roman"/>
        </w:rPr>
        <w:t>Unbeachtlichkeitsregelung § 215 Abs. 1 Nr. 1 BauGB</w:t>
      </w:r>
    </w:p>
    <w:p>
      <w:pPr>
        <w:jc w:val="left"/>
      </w:pPr>
      <w:r>
        <w:t>Nach § 215 Abs. 1 Nr. 1 BauGB werden Verletzungen des § 214 Abs. 1 Satz 1 Nr. 2 BauGB unbeachtlich, wenn sie nicht innerhalb eines Jahres seit der Bekanntmachung des B-Plans schriftlich gegenüber der Gemeinde geltend gemacht worden sind. Die Frist begann mit der Bekanntmachung des Satzungsbeschlusses am 20.03.2026. Die Rüge der BI v. 28.03.2026 ist fristgerecht.</w:t>
      </w:r>
    </w:p>
    <w:p/>
    <w:p>
      <w:pPr>
        <w:pStyle w:val="Heading2"/>
      </w:pPr>
      <w:r>
        <w:rPr>
          <w:rFonts w:ascii="Times New Roman" w:hAnsi="Times New Roman"/>
        </w:rPr>
        <w:t>5. Dokumentation der Rügeerhebung</w:t>
      </w:r>
    </w:p>
    <w:p>
      <w:pPr>
        <w:jc w:val="left"/>
      </w:pPr>
      <w:r>
        <w:t>Rügeschreiben: BI an Bezirksamt Friedrichshain-Kreuzberg, Stadtentwicklungsamt, Yorkstraße 4-11, 10965 Berlin.</w:t>
      </w:r>
    </w:p>
    <w:p>
      <w:pPr>
        <w:jc w:val="left"/>
      </w:pPr>
      <w:r>
        <w:t>Datum: 28. März 2026 (vorab per E-Mail, Originalschreiben per Einwurf-Einschreiben).</w:t>
      </w:r>
    </w:p>
    <w:p>
      <w:pPr>
        <w:jc w:val="left"/>
      </w:pPr>
      <w:r>
        <w:t>Eingang beim Bezirksamt: 29. März 2026 (Rückschein liegt vor).</w:t>
      </w:r>
    </w:p>
    <w:p>
      <w:pPr>
        <w:jc w:val="left"/>
      </w:pPr>
      <w:r>
        <w:t>Kanzlei-AZ: BT-2026-0314/Rüge.</w:t>
      </w:r>
    </w:p>
    <w:p>
      <w:pPr>
        <w:jc w:val="left"/>
      </w:pPr>
      <w:r>
        <w:t>Quellen: dejure.org (§ 2 BauGB, § 214 BauGB, § 215 BauGB); OVG Berlin-Brandenburg, Urt. v. 11.02.2010 — 10 A 7.08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