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Frühzeitige Bürgerbeteiligung — Protokoll und Formalmängel (§ 3 Abs. 1 BauGB)</w:t>
      </w:r>
    </w:p>
    <w:p>
      <w:pPr>
        <w:jc w:val="left"/>
      </w:pPr>
      <w:r>
        <w:t>Bezirksamt Friedrichshain-Kreuzberg, Stadtentwicklungsamt</w:t>
      </w:r>
    </w:p>
    <w:p>
      <w:pPr>
        <w:jc w:val="left"/>
      </w:pPr>
      <w:r>
        <w:t>Veranstaltung: „Auftaktveranstaltung B-Plan XV-43d Spreepark"</w:t>
      </w:r>
    </w:p>
    <w:p>
      <w:pPr>
        <w:jc w:val="left"/>
      </w:pPr>
      <w:r>
        <w:t>Datum: 12. Oktober 2022 · Ort: Bezirksamt Friedrichshain-Kreuzberg, Bürgersaal, Frankfurter Allee 35–37</w:t>
      </w:r>
    </w:p>
    <w:p/>
    <w:p>
      <w:pPr>
        <w:pStyle w:val="Heading2"/>
      </w:pPr>
      <w:r>
        <w:rPr>
          <w:rFonts w:ascii="Times New Roman" w:hAnsi="Times New Roman"/>
        </w:rPr>
        <w:t>1. Rechtliche Anforderungen (§ 3 Abs. 1 BauGB)</w:t>
      </w:r>
    </w:p>
    <w:p>
      <w:pPr>
        <w:jc w:val="left"/>
      </w:pPr>
      <w:r>
        <w:t>Nach § 3 Abs. 1 Satz 1 BauGB ist die Öffentlichkeit möglichst frühzeitig über die allgemeinen Ziele und Zwecke der Planung, sich wesentlich unterscheidende Lösungen, die für die Neugestaltung oder Entwicklung eines Gebiets in Betracht kommen, sowie die voraussichtlichen Auswirkungen der Planung zu unterrichten. Es ist ihr Gelegenheit zur Äußerung und Erörterung zu geben.</w:t>
      </w:r>
    </w:p>
    <w:p>
      <w:pPr>
        <w:jc w:val="left"/>
      </w:pPr>
      <w:r>
        <w:t>Das BVerwG hat dazu festgestellt, dass eine nur formale Beteiligungsmöglichkeit ohne effektiven Informationsgehalt den Anforderungen des § 3 Abs. 1 BauGB nicht genügt (BVerwG, Urt. v. 29.01.2009 — 4 C 16.07, NVwZ 2009, 1107).</w:t>
      </w:r>
    </w:p>
    <w:p/>
    <w:p>
      <w:pPr>
        <w:pStyle w:val="Heading2"/>
      </w:pPr>
      <w:r>
        <w:rPr>
          <w:rFonts w:ascii="Times New Roman" w:hAnsi="Times New Roman"/>
        </w:rPr>
        <w:t>2. Bekanntmachung der Beteiligungsveranstaltung</w:t>
      </w:r>
    </w:p>
    <w:p>
      <w:pPr>
        <w:jc w:val="left"/>
      </w:pPr>
      <w:r>
        <w:t>Die Auftaktveranstaltung wurde im Amtsblatt Berlin Nr. 40/2022 vom 30.09.2022 bekanntgemacht. Die Bekanntmachung erfolgte damit nur 12 Tage vor der Veranstaltung.</w:t>
      </w:r>
    </w:p>
    <w:p>
      <w:pPr>
        <w:pStyle w:val="Heading3"/>
      </w:pPr>
      <w:r>
        <w:rPr>
          <w:rFonts w:ascii="Times New Roman" w:hAnsi="Times New Roman"/>
        </w:rPr>
        <w:t>Mangel — Ankündigungsfrist</w:t>
      </w:r>
    </w:p>
    <w:p>
      <w:pPr>
        <w:jc w:val="left"/>
      </w:pPr>
      <w:r>
        <w:t>Nach allgemeiner Auffassung und der Berliner Verwaltungspraxis soll eine Ankündigung einer Beteiligungsveranstaltung mindestens 3–4 Wochen vor dem Termin erfolgen, um einer breiten Öffentlichkeit die Teilnahme zu ermöglichen. Eine 12-tägige Vorlaufzeit ist insbesondere im Hinblick auf berufstätige Anwohnerinnen und Anwohner unzureichend.</w:t>
      </w:r>
    </w:p>
    <w:p>
      <w:pPr>
        <w:pStyle w:val="Heading3"/>
      </w:pPr>
      <w:r>
        <w:rPr>
          <w:rFonts w:ascii="Times New Roman" w:hAnsi="Times New Roman"/>
        </w:rPr>
        <w:t>Mangel — Fehlende Unterlagen</w:t>
      </w:r>
    </w:p>
    <w:p>
      <w:pPr>
        <w:jc w:val="left"/>
      </w:pPr>
      <w:r>
        <w:t>Die Bekanntmachung enthielt keinen Hinweis, wo die Planunterlagen (Vorentwurf, Begründung, Lagekarte) einsehbar waren. Weder im Bezirksamt noch im Internetauftritt des Bezirks war zum Zeitpunkt der Bekanntmachung ein Vorentwurf zugänglich (Nachweis: Ausdruck Bezirkswebseite v. 05.10.2022 in Anlage).</w:t>
      </w:r>
    </w:p>
    <w:p/>
    <w:p>
      <w:pPr>
        <w:pStyle w:val="Heading2"/>
      </w:pPr>
      <w:r>
        <w:rPr>
          <w:rFonts w:ascii="Times New Roman" w:hAnsi="Times New Roman"/>
        </w:rPr>
        <w:t>3. Protokoll der Veranstaltung (Auszug)</w:t>
      </w:r>
    </w:p>
    <w:p>
      <w:pPr>
        <w:jc w:val="left"/>
      </w:pPr>
      <w:r>
        <w:t>Anwesende: 3 Vertreter Bezirksamt, 1 Vertreter Bauland Spreepark GmbH (Herr Steinheim-Wittfeldt), ca. 42 Bürgerinnen und Bürger. Dr. Tannengarten-Roosendaal war nicht anwesend (Verein noch nicht gegründet).</w:t>
      </w:r>
    </w:p>
    <w:p>
      <w:pPr>
        <w:pStyle w:val="Heading3"/>
      </w:pPr>
      <w:r>
        <w:rPr>
          <w:rFonts w:ascii="Times New Roman" w:hAnsi="Times New Roman"/>
        </w:rPr>
        <w:t>Ablauf</w:t>
      </w:r>
    </w:p>
    <w:p>
      <w:pPr>
        <w:jc w:val="left"/>
      </w:pPr>
      <w:r>
        <w:rPr>
          <w:b/>
        </w:rPr>
        <w:t>18:00 Uhr</w:t>
      </w:r>
      <w:r>
        <w:t>: Begrüßung durch Stadtrat für Stadtentwicklung Dr. Olaf Kemper-Brinkhaus.</w:t>
      </w:r>
    </w:p>
    <w:p>
      <w:pPr>
        <w:jc w:val="left"/>
      </w:pPr>
      <w:r>
        <w:rPr>
          <w:b/>
        </w:rPr>
        <w:t>18:15 Uhr</w:t>
      </w:r>
      <w:r>
        <w:t>: Präsentation Planungsziele durch Planungsreferentin Sandra Völkel-Kruse: 420 Wohneinheiten, davon 30 % gefördert; Erschließung über Warnitzer Straße; 8-geschossige Bebauung.</w:t>
      </w:r>
    </w:p>
    <w:p>
      <w:pPr>
        <w:jc w:val="left"/>
      </w:pPr>
      <w:r>
        <w:rPr>
          <w:b/>
        </w:rPr>
        <w:t>18:40 Uhr</w:t>
      </w:r>
      <w:r>
        <w:t>: Diskussion. Mehrere Anwohnende äußerten:</w:t>
      </w:r>
    </w:p>
    <w:p>
      <w:pPr>
        <w:pStyle w:val="ListBullet"/>
      </w:pPr>
      <w:r>
        <w:t>Bedenken wegen Verlust der Parkfläche als einziger Ufergrünfläche.</w:t>
      </w:r>
    </w:p>
    <w:p>
      <w:pPr>
        <w:pStyle w:val="ListBullet"/>
      </w:pPr>
      <w:r>
        <w:t>Frage nach Lärmschutz (S-Bahn-Trasse, täglich ca. 280 Züge).</w:t>
      </w:r>
    </w:p>
    <w:p>
      <w:pPr>
        <w:pStyle w:val="ListBullet"/>
      </w:pPr>
      <w:r>
        <w:t>Frage nach Parkplatzproblem (Warnitzer Straße bereits überlastet).</w:t>
      </w:r>
    </w:p>
    <w:p>
      <w:pPr>
        <w:pStyle w:val="ListBullet"/>
      </w:pPr>
      <w:r>
        <w:t>Bedenken wegen Schatten (Verschattung der Nachbarbebauung durch 8 Geschosse).</w:t>
      </w:r>
    </w:p>
    <w:p>
      <w:pPr>
        <w:jc w:val="left"/>
      </w:pPr>
      <w:r>
        <w:rPr>
          <w:b/>
        </w:rPr>
        <w:t>19:30 Uhr</w:t>
      </w:r>
      <w:r>
        <w:t>: Herr Steinheim-Wittfeldt (Bauland Spreepark GmbH) ergreift das Wort und erläutert das Investorenkonzept. Auf Nachfrage bestätigt er, dass der Investor die Fläche bereits 2021 von der BIM Berlin (Berliner Immobilienmanagement GmbH) erworben hat.</w:t>
      </w:r>
    </w:p>
    <w:p>
      <w:pPr>
        <w:jc w:val="left"/>
      </w:pPr>
      <w:r>
        <w:rPr>
          <w:b/>
        </w:rPr>
        <w:t>19:55 Uhr</w:t>
      </w:r>
      <w:r>
        <w:t>: Ende der Veranstaltung.</w:t>
      </w:r>
    </w:p>
    <w:p/>
    <w:p>
      <w:pPr>
        <w:pStyle w:val="Heading2"/>
      </w:pPr>
      <w:r>
        <w:rPr>
          <w:rFonts w:ascii="Times New Roman" w:hAnsi="Times New Roman"/>
        </w:rPr>
        <w:t>4. Wesentliche Formalmängel (Zusammenfassung)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Mangel</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Qualifikation</w:t>
            </w:r>
          </w:p>
        </w:tc>
      </w:tr>
      <w:tr>
        <w:tc>
          <w:tcPr>
            <w:tcW w:type="dxa" w:w="3024"/>
          </w:tcPr>
          <w:p>
            <w:r>
              <w:rPr>
                <w:rFonts w:ascii="Times New Roman" w:hAnsi="Times New Roman"/>
                <w:sz w:val="20"/>
              </w:rPr>
              <w:t>Ankündigungsfrist zu kurz (12 Tage)</w:t>
            </w:r>
          </w:p>
        </w:tc>
        <w:tc>
          <w:tcPr>
            <w:tcW w:type="dxa" w:w="3024"/>
          </w:tcPr>
          <w:p>
            <w:r>
              <w:rPr>
                <w:rFonts w:ascii="Times New Roman" w:hAnsi="Times New Roman"/>
                <w:sz w:val="20"/>
              </w:rPr>
              <w:t>§ 3 Abs. 1 BauGB</w:t>
            </w:r>
          </w:p>
        </w:tc>
        <w:tc>
          <w:tcPr>
            <w:tcW w:type="dxa" w:w="3024"/>
          </w:tcPr>
          <w:p>
            <w:r>
              <w:rPr>
                <w:rFonts w:ascii="Times New Roman" w:hAnsi="Times New Roman"/>
                <w:sz w:val="20"/>
              </w:rPr>
              <w:t>Erheblich</w:t>
            </w:r>
          </w:p>
        </w:tc>
      </w:tr>
      <w:tr>
        <w:tc>
          <w:tcPr>
            <w:tcW w:type="dxa" w:w="3024"/>
          </w:tcPr>
          <w:p>
            <w:r>
              <w:rPr>
                <w:rFonts w:ascii="Times New Roman" w:hAnsi="Times New Roman"/>
                <w:sz w:val="20"/>
              </w:rPr>
              <w:t>Fehlende Planunterlagen zur Einsicht</w:t>
            </w:r>
          </w:p>
        </w:tc>
        <w:tc>
          <w:tcPr>
            <w:tcW w:type="dxa" w:w="3024"/>
          </w:tcPr>
          <w:p>
            <w:r>
              <w:rPr>
                <w:rFonts w:ascii="Times New Roman" w:hAnsi="Times New Roman"/>
                <w:sz w:val="20"/>
              </w:rPr>
              <w:t>§ 3 Abs. 1 BauGB</w:t>
            </w:r>
          </w:p>
        </w:tc>
        <w:tc>
          <w:tcPr>
            <w:tcW w:type="dxa" w:w="3024"/>
          </w:tcPr>
          <w:p>
            <w:r>
              <w:rPr>
                <w:rFonts w:ascii="Times New Roman" w:hAnsi="Times New Roman"/>
                <w:sz w:val="20"/>
              </w:rPr>
              <w:t>Erheblich</w:t>
            </w:r>
          </w:p>
        </w:tc>
      </w:tr>
      <w:tr>
        <w:tc>
          <w:tcPr>
            <w:tcW w:type="dxa" w:w="3024"/>
          </w:tcPr>
          <w:p>
            <w:r>
              <w:rPr>
                <w:rFonts w:ascii="Times New Roman" w:hAnsi="Times New Roman"/>
                <w:sz w:val="20"/>
              </w:rPr>
              <w:t>Keine Erörterung von Alternativlösungen</w:t>
            </w:r>
          </w:p>
        </w:tc>
        <w:tc>
          <w:tcPr>
            <w:tcW w:type="dxa" w:w="3024"/>
          </w:tcPr>
          <w:p>
            <w:r>
              <w:rPr>
                <w:rFonts w:ascii="Times New Roman" w:hAnsi="Times New Roman"/>
                <w:sz w:val="20"/>
              </w:rPr>
              <w:t>§ 3 Abs. 1 Satz 1 BauGB</w:t>
            </w:r>
          </w:p>
        </w:tc>
        <w:tc>
          <w:tcPr>
            <w:tcW w:type="dxa" w:w="3024"/>
          </w:tcPr>
          <w:p>
            <w:r>
              <w:rPr>
                <w:rFonts w:ascii="Times New Roman" w:hAnsi="Times New Roman"/>
                <w:sz w:val="20"/>
              </w:rPr>
              <w:t>Erheblich</w:t>
            </w:r>
          </w:p>
        </w:tc>
      </w:tr>
      <w:tr>
        <w:tc>
          <w:tcPr>
            <w:tcW w:type="dxa" w:w="3024"/>
          </w:tcPr>
          <w:p>
            <w:r>
              <w:rPr>
                <w:rFonts w:ascii="Times New Roman" w:hAnsi="Times New Roman"/>
                <w:sz w:val="20"/>
              </w:rPr>
              <w:t>Niederschrift nicht zeitnah ausgehängt</w:t>
            </w:r>
          </w:p>
        </w:tc>
        <w:tc>
          <w:tcPr>
            <w:tcW w:type="dxa" w:w="3024"/>
          </w:tcPr>
          <w:p>
            <w:r>
              <w:rPr>
                <w:rFonts w:ascii="Times New Roman" w:hAnsi="Times New Roman"/>
                <w:sz w:val="20"/>
              </w:rPr>
              <w:t>§ 3 Abs. 1 Satz 2 BauGB analog</w:t>
            </w:r>
          </w:p>
        </w:tc>
        <w:tc>
          <w:tcPr>
            <w:tcW w:type="dxa" w:w="3024"/>
          </w:tcPr>
          <w:p>
            <w:r>
              <w:rPr>
                <w:rFonts w:ascii="Times New Roman" w:hAnsi="Times New Roman"/>
                <w:sz w:val="20"/>
              </w:rPr>
              <w:t>Mittelschwer</w:t>
            </w:r>
          </w:p>
        </w:tc>
      </w:tr>
      <w:tr>
        <w:tc>
          <w:tcPr>
            <w:tcW w:type="dxa" w:w="3024"/>
          </w:tcPr>
          <w:p>
            <w:r>
              <w:rPr>
                <w:rFonts w:ascii="Times New Roman" w:hAnsi="Times New Roman"/>
                <w:sz w:val="20"/>
              </w:rPr>
              <w:t>Beteiligung an einem Werktag-Abend ohne barrierefreie Alternative</w:t>
            </w:r>
          </w:p>
        </w:tc>
        <w:tc>
          <w:tcPr>
            <w:tcW w:type="dxa" w:w="3024"/>
          </w:tcPr>
          <w:p>
            <w:r>
              <w:rPr>
                <w:rFonts w:ascii="Times New Roman" w:hAnsi="Times New Roman"/>
                <w:sz w:val="20"/>
              </w:rPr>
              <w:t>Art. 3 GG, § 1 Abs. 7 BauGB</w:t>
            </w:r>
          </w:p>
        </w:tc>
        <w:tc>
          <w:tcPr>
            <w:tcW w:type="dxa" w:w="3024"/>
          </w:tcPr>
          <w:p>
            <w:r>
              <w:rPr>
                <w:rFonts w:ascii="Times New Roman" w:hAnsi="Times New Roman"/>
                <w:sz w:val="20"/>
              </w:rPr>
              <w:t>Mittelschwer</w:t>
            </w:r>
          </w:p>
        </w:tc>
      </w:tr>
    </w:tbl>
    <w:p/>
    <w:p>
      <w:pPr>
        <w:pStyle w:val="Heading2"/>
      </w:pPr>
      <w:r>
        <w:rPr>
          <w:rFonts w:ascii="Times New Roman" w:hAnsi="Times New Roman"/>
        </w:rPr>
        <w:t>5. Bewertung für das Normenkontrollverfahren</w:t>
      </w:r>
    </w:p>
    <w:p>
      <w:pPr>
        <w:jc w:val="left"/>
      </w:pPr>
      <w:r>
        <w:t>Die Mängel der frühzeitigen Bürgerbeteiligung sind nach § 214 Abs. 1 Satz 1 Nr. 2 BauGB erheblich. Eine Heilung durch das spätere Auslegungsverfahren (§ 3 Abs. 2 BauGB) scheidet aus, da die frühzeitige Beteiligung eine eigenständige Funktion hat (BVerwG, Beschl. v. 15.10.2001 — 4 BN 48.01). Die BI hat diese Mängel in der § 215 BauGB-Rüge v. 28.03.2026 geltend gemacht.</w:t>
      </w:r>
    </w:p>
    <w:p>
      <w:pPr>
        <w:jc w:val="left"/>
      </w:pPr>
      <w:r>
        <w:t>Quellen: dejure.org (§ 3 BauGB, § 214 BauGB); BVerwG, Urt. v. 29.01.2009 — 4 C 16.07 (bundesverwaltungsgericht.de); OVG Berlin-Brandenburg, Urt. v. 11.02.2010 — 10 A 7.08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