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Öffentliche Auslegung § 3 Abs. 2 BauGB — Eingegangene Stellungnahmen</w:t>
      </w:r>
    </w:p>
    <w:p>
      <w:pPr>
        <w:jc w:val="left"/>
      </w:pPr>
      <w:r>
        <w:t>Bezirksamt Friedrichshain-Kreuzberg, Stadtentwicklungsamt</w:t>
      </w:r>
    </w:p>
    <w:p>
      <w:pPr>
        <w:jc w:val="left"/>
      </w:pPr>
      <w:r>
        <w:t>Auslegungszeitraum: 14. März 2025 — 28. April 2025 (45 Tage)</w:t>
      </w:r>
    </w:p>
    <w:p>
      <w:pPr>
        <w:jc w:val="left"/>
      </w:pPr>
      <w:r>
        <w:t>Auslegungsort: Bezirksamt Friedrichshain-Kreuzberg, Frankfurter Allee 35–37, Zimmer 206</w:t>
      </w:r>
    </w:p>
    <w:p/>
    <w:p>
      <w:pPr>
        <w:pStyle w:val="Heading2"/>
      </w:pPr>
      <w:r>
        <w:rPr>
          <w:rFonts w:ascii="Times New Roman" w:hAnsi="Times New Roman"/>
        </w:rPr>
        <w:t>1. Formelle Anforderungen (§ 3 Abs. 2 BauGB)</w:t>
      </w:r>
    </w:p>
    <w:p>
      <w:pPr>
        <w:jc w:val="left"/>
      </w:pPr>
      <w:r>
        <w:t>Nach § 3 Abs. 2 BauGB sind Entwurf des Bauleitplans und Begründung für die Dauer eines Monats öffentlich auszulegen. Ort und Dauer sind mindestens eine Woche vor Beginn der Auslegung ortsüblich bekanntzumachen. Im Internet sind zusätzlich Informationen zum Plan bereitzustellen.</w:t>
      </w:r>
    </w:p>
    <w:p/>
    <w:p>
      <w:pPr>
        <w:pStyle w:val="Heading2"/>
      </w:pPr>
      <w:r>
        <w:rPr>
          <w:rFonts w:ascii="Times New Roman" w:hAnsi="Times New Roman"/>
        </w:rPr>
        <w:t>2. Bekanntmachung der Auslegung</w:t>
      </w:r>
    </w:p>
    <w:p>
      <w:pPr>
        <w:jc w:val="left"/>
      </w:pPr>
      <w:r>
        <w:t>Bekanntmachung im Amtsblatt Berlin Nr. 10/2025 vom 07.03.2025 (7 Tage vor Auslegungsbeginn — Mindestfrist exakt gewahrt). Der Bekanntmachungstext enthielt einen Verweis auf die Website des Bezirksamts (www.berlin.de/ba-friedrichshain-kreuzberg/bplan-xv-43d), die jedoch erst am 11.03.2025 freigeschaltet wurde (4 Tage nach Amtsblattveröffentlichung, 3 Tage vor Auslegungsbeginn).</w:t>
      </w:r>
    </w:p>
    <w:p>
      <w:pPr>
        <w:pStyle w:val="Heading3"/>
      </w:pPr>
      <w:r>
        <w:rPr>
          <w:rFonts w:ascii="Times New Roman" w:hAnsi="Times New Roman"/>
        </w:rPr>
        <w:t>Kritik</w:t>
      </w:r>
    </w:p>
    <w:p>
      <w:pPr>
        <w:jc w:val="left"/>
      </w:pPr>
      <w:r>
        <w:t>Das OVG Berlin-Brandenburg hat entschieden, dass die gleichzeitige Verfügbarkeit im Internet und im Amtsblatt nicht zwingend erforderlich ist, jedoch die Internetveröffentlichung spätestens zu Beginn der Auslegungsfrist vorliegen muss (OVG Berlin-Brandenburg, Beschl. v. 17.06.2019 — 10 S 29.18). Diese Anforderung war vorliegend knapp gewahrt.</w:t>
      </w:r>
    </w:p>
    <w:p/>
    <w:p>
      <w:pPr>
        <w:pStyle w:val="Heading2"/>
      </w:pPr>
      <w:r>
        <w:rPr>
          <w:rFonts w:ascii="Times New Roman" w:hAnsi="Times New Roman"/>
        </w:rPr>
        <w:t>3. Eingegangene Stellungnahmen (Übersicht)</w:t>
      </w:r>
    </w:p>
    <w:p>
      <w:pPr>
        <w:jc w:val="left"/>
      </w:pPr>
      <w:r>
        <w:t>Insgesamt gingen 312 Stellungnahmen ein (Einzelpersonen: 287, Organisationen: 25).</w:t>
      </w:r>
    </w:p>
    <w:p>
      <w:pPr>
        <w:pStyle w:val="Heading3"/>
      </w:pPr>
      <w:r>
        <w:rPr>
          <w:rFonts w:ascii="Times New Roman" w:hAnsi="Times New Roman"/>
        </w:rPr>
        <w:t>Ausgewählte Stellungnahmen</w:t>
      </w:r>
    </w:p>
    <w:p>
      <w:pPr>
        <w:jc w:val="left"/>
      </w:pPr>
      <w:r>
        <w:rPr>
          <w:b/>
        </w:rPr>
        <w:t>St-01</w:t>
      </w:r>
      <w:r>
        <w:t xml:space="preserve"> — Bürgerinitiative „Rettet den Spreeuferpark Friedrichshain" e.V. (Dr. Tannengarten-Roosendaal)</w:t>
      </w:r>
    </w:p>
    <w:p>
      <w:pPr>
        <w:jc w:val="left"/>
      </w:pPr>
      <w:r>
        <w:t>Inhalt: Abwägungsdefizite (§ 1 Abs. 7 BauGB), Artenschutz, Lärmschutz, Klimaanpassung, Bekanntmachungsmangel Aufstellungsbeschluss. Umfang: 34 Seiten, 8 Anlagen.</w:t>
      </w:r>
    </w:p>
    <w:p>
      <w:pPr>
        <w:jc w:val="left"/>
      </w:pPr>
      <w:r>
        <w:rPr>
          <w:b/>
        </w:rPr>
        <w:t>St-02</w:t>
      </w:r>
      <w:r>
        <w:t xml:space="preserve"> — BUND Berlin e.V. (Landesverband Berlin)</w:t>
      </w:r>
    </w:p>
    <w:p>
      <w:pPr>
        <w:jc w:val="left"/>
      </w:pPr>
      <w:r>
        <w:t>Inhalt: Artenschutzgutachten unzureichend; Zauneidechse (Lacerta agilis), Mauereidechse (Podarcis muralis). Forderung: Neukartierung vor Satzungsbeschluss. Umfang: 12 Seiten.</w:t>
      </w:r>
    </w:p>
    <w:p>
      <w:pPr>
        <w:jc w:val="left"/>
      </w:pPr>
      <w:r>
        <w:rPr>
          <w:b/>
        </w:rPr>
        <w:t>St-03</w:t>
      </w:r>
      <w:r>
        <w:t xml:space="preserve"> — NABU Berlin e.V.</w:t>
      </w:r>
    </w:p>
    <w:p>
      <w:pPr>
        <w:jc w:val="left"/>
      </w:pPr>
      <w:r>
        <w:t>Inhalt: Verlust von Biotopverbund (§ 21 BNatSchG), Brutvogelkartierung fehlt. Umfang: 8 Seiten.</w:t>
      </w:r>
    </w:p>
    <w:p>
      <w:pPr>
        <w:jc w:val="left"/>
      </w:pPr>
      <w:r>
        <w:rPr>
          <w:b/>
        </w:rPr>
        <w:t>St-04</w:t>
      </w:r>
      <w:r>
        <w:t xml:space="preserve"> — Bauland Spreepark GmbH (durch RAe Schmitz, Meister &amp; Partner)</w:t>
      </w:r>
    </w:p>
    <w:p>
      <w:pPr>
        <w:jc w:val="left"/>
      </w:pPr>
      <w:r>
        <w:t>Inhalt: Unterstützung des B-Plans; Anpassung Stellplatzschlüssel auf 0,5 (Investor bevorzugt weniger Stellplätze aus Wirtschaftlichkeitsgründen). Stellungnahme zugleich Anforderung von Beiladung nach § 65 VwGO im Falle eines Normenkontrollverfahrens.</w:t>
      </w:r>
    </w:p>
    <w:p>
      <w:pPr>
        <w:jc w:val="left"/>
      </w:pPr>
      <w:r>
        <w:rPr>
          <w:b/>
        </w:rPr>
        <w:t>St-05</w:t>
      </w:r>
      <w:r>
        <w:t xml:space="preserve"> — Senatsverwaltung für Mobilität, Verkehr, Klimaschutz und Umwelt</w:t>
      </w:r>
    </w:p>
    <w:p>
      <w:pPr>
        <w:jc w:val="left"/>
      </w:pPr>
      <w:r>
        <w:t>Inhalt: Fehlende Klimaanalyse (Hitzeinselkartierung), Kaltluftschneise Spree nicht untersucht. Nachweis: Klimaatlas Berlin, Abschnitt Friedrichshain.</w:t>
      </w:r>
    </w:p>
    <w:p>
      <w:pPr>
        <w:jc w:val="left"/>
      </w:pPr>
      <w:r>
        <w:rPr>
          <w:b/>
        </w:rPr>
        <w:t>St-06</w:t>
      </w:r>
      <w:r>
        <w:t xml:space="preserve"> — Berliner Verkehrsbetriebe (BVG)</w:t>
      </w:r>
    </w:p>
    <w:p>
      <w:pPr>
        <w:jc w:val="left"/>
      </w:pPr>
      <w:r>
        <w:t>Inhalt: Kapazitätsgrenzen U1 (Görlitzer Bahnhof, Warschauer Straße) bei Vollbelegung +420 WE bereits erreicht; Kapazitätserhöhung nicht geplant bis 2030.</w:t>
      </w:r>
    </w:p>
    <w:p>
      <w:pPr>
        <w:jc w:val="left"/>
      </w:pPr>
      <w:r>
        <w:rPr>
          <w:b/>
        </w:rPr>
        <w:t>St-07</w:t>
      </w:r>
      <w:r>
        <w:t xml:space="preserve"> — 147 Einzelpersonen (Sammelstellungnahme koordiniert durch BI)</w:t>
      </w:r>
    </w:p>
    <w:p>
      <w:pPr>
        <w:jc w:val="left"/>
      </w:pPr>
      <w:r>
        <w:t>Inhalt: Verlust Naherholungsfläche, Verschattung, Lärm; Forderung Nullvariante.</w:t>
      </w:r>
    </w:p>
    <w:p/>
    <w:p>
      <w:pPr>
        <w:pStyle w:val="Heading2"/>
      </w:pPr>
      <w:r>
        <w:rPr>
          <w:rFonts w:ascii="Times New Roman" w:hAnsi="Times New Roman"/>
        </w:rPr>
        <w:t>4. Abwägungsbeschluss des Bezirksamts</w:t>
      </w:r>
    </w:p>
    <w:p>
      <w:pPr>
        <w:jc w:val="left"/>
      </w:pPr>
      <w:r>
        <w:t>Das Bezirksamt fasste am 03.03.2026 den Abwägungsbeschluss zu den Stellungnahmen. Die Stellungnahmen der BI (St-01), des BUND (St-02), des NABU (St-03) und der Senatsverwaltung für Mobilität (St-05) wurden abgewogen und — mit Ausnahme redaktioneller Anpassungen — als nicht berücksichtigungsfähig zurückgewiesen.</w:t>
      </w:r>
    </w:p>
    <w:p>
      <w:pPr>
        <w:jc w:val="left"/>
      </w:pPr>
      <w:r>
        <w:t>Begründung des Bezirksamts (Synopse, Anlage zum Abwägungsbeschluss):</w:t>
      </w:r>
    </w:p>
    <w:p>
      <w:pPr>
        <w:pStyle w:val="ListBullet"/>
      </w:pPr>
      <w:r>
        <w:t>St-01 (BI): Abwägungsbelange seien bereits berücksichtigt; Lärmschutz durch Festsetzung H-3 gesichert; Artenschutz durch CEF-Maßnahme H-2 gewährleistet.</w:t>
      </w:r>
    </w:p>
    <w:p>
      <w:pPr>
        <w:pStyle w:val="ListBullet"/>
      </w:pPr>
      <w:r>
        <w:t>St-02 (BUND): Artenschutzgutachten (Grünplan GmbH, August 2024) sei ausreichend aktuell; CEF-Maßnahme decke Anforderungen ab.</w:t>
      </w:r>
    </w:p>
    <w:p>
      <w:pPr>
        <w:pStyle w:val="ListBullet"/>
      </w:pPr>
      <w:r>
        <w:t>St-05 (SenMVKU): Klimaanpassung sei durch Dachbegrünung (H-1) und Anpflanzgebot ausreichend berücksichtigt.</w:t>
      </w:r>
    </w:p>
    <w:p/>
    <w:p>
      <w:pPr>
        <w:pStyle w:val="Heading2"/>
      </w:pPr>
      <w:r>
        <w:rPr>
          <w:rFonts w:ascii="Times New Roman" w:hAnsi="Times New Roman"/>
        </w:rPr>
        <w:t>5. Rechtliche Bewertung</w:t>
      </w:r>
    </w:p>
    <w:p>
      <w:pPr>
        <w:jc w:val="left"/>
      </w:pPr>
      <w:r>
        <w:t>Die Abwägung der Stellungnahmen St-01, St-02 und St-05 ist nach Einschätzung der Kanzlei fehlerhaft:</w:t>
      </w:r>
    </w:p>
    <w:p>
      <w:pPr>
        <w:pStyle w:val="ListBullet"/>
      </w:pPr>
      <w:r>
        <w:t>Die Zurückweisung des BUND-Gutachtens ohne eigene fachliche Stellungnahme des Bezirksamts genügt nicht dem Gebot der Ermittlung des Abwägungsmaterials (§ 2 Abs. 3 BauGB; BVerwG, Urt. v. 09.04.2008 — 4 CN 1.07, BVerwGE 131, 100).</w:t>
      </w:r>
    </w:p>
    <w:p>
      <w:pPr>
        <w:pStyle w:val="ListBullet"/>
      </w:pPr>
      <w:r>
        <w:t>Die Klimaanalyse-Rüge der Senatsverwaltung wurde ohne sachliche Auseinandersetzung abgetan; Dachbegrünung kompensiert keine Kaltluftschneisen-Unterbrechung.</w:t>
      </w:r>
    </w:p>
    <w:p>
      <w:pPr>
        <w:jc w:val="left"/>
      </w:pPr>
      <w:r>
        <w:t>Quellen: dejure.org (§ 3 BauGB, § 2 BauGB); BVerwG, Urt. v. 09.04.2008 — 4 CN 1.07 (bundesverwaltungsgericht.de); openjur.de (OVG Berlin-Brandenburg).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