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Soziale Verträglichkeitsprüfung — Mieten, Verdrängungsrisiko, § 1 Abs. 6 Nr. 2 BauGB</w:t>
      </w:r>
    </w:p>
    <w:p>
      <w:pPr>
        <w:jc w:val="left"/>
      </w:pPr>
      <w:r>
        <w:t>Erstellt durch: Kanzlei BT-2026-0314, unter Auswertung des BI-Gutachtens (Wohnmarktanalyse Friedrichshain-Kreuzberg, Prof. Dr. Anna Schöner-Hoffmann, TU Berlin, März 2026)</w:t>
      </w:r>
    </w:p>
    <w:p/>
    <w:p>
      <w:pPr>
        <w:pStyle w:val="Heading2"/>
      </w:pPr>
      <w:r>
        <w:rPr>
          <w:rFonts w:ascii="Times New Roman" w:hAnsi="Times New Roman"/>
        </w:rPr>
        <w:t>1. Rechtlicher Rahmen</w:t>
      </w:r>
    </w:p>
    <w:p>
      <w:pPr>
        <w:jc w:val="left"/>
      </w:pPr>
      <w:r>
        <w:t>§ 1 Abs. 6 Nr. 2 BauGB verpflichtet die planende Gemeinde, bei der Aufstellung von Bauleitplänen die allgemeinen Anforderungen an gesunde Wohn- und Arbeitsverhältnisse sowie die Bedürfnisse der Bevölkerung zu berücksichtigen. Dazu gehört insbesondere die Schaffung und Erhaltung sozial stabiler Bewohnerstrukturen.</w:t>
      </w:r>
    </w:p>
    <w:p>
      <w:pPr>
        <w:jc w:val="left"/>
      </w:pPr>
      <w:r>
        <w:t>Das BVerwG hat in ständiger Rechtsprechung betont, dass soziale Belange bei der Abwägung (§ 1 Abs. 7 BauGB) eigenständig zu gewichten sind und nicht durch allgemeine Verweise auf den Wohnungsbedarf überlagert werden können (BVerwG, Beschl. v. 09.11.1979 — 4 N 1.78).</w:t>
      </w:r>
    </w:p>
    <w:p/>
    <w:p>
      <w:pPr>
        <w:pStyle w:val="Heading2"/>
      </w:pPr>
      <w:r>
        <w:rPr>
          <w:rFonts w:ascii="Times New Roman" w:hAnsi="Times New Roman"/>
        </w:rPr>
        <w:t>2. Ausgangslage Wohnungsmarkt Friedrichshain-Kreuzberg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Indikator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Friedrichshain-Kreuzberg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Berlin gesamt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Mittlerer Angebotsmietpreis (Wiedervermietung)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16,20 EUR/m²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13,80 EUR/m²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Mietpreisanstieg 2020–2025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+34 %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+21 %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Leerstandsquote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0,4 %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0,9 %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Anteil Sozialwohnungen am Gesamtbestand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6,2 %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14,1 %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Milieuschutzgebiete (§ 172 BauGB)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Gebiete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t>Quelle: IBB Wohnungsmarktbericht 2025, Senatsverwaltung für Stadtentwicklung.</w:t>
      </w:r>
    </w:p>
    <w:p/>
    <w:p>
      <w:pPr>
        <w:pStyle w:val="Heading2"/>
      </w:pPr>
      <w:r>
        <w:rPr>
          <w:rFonts w:ascii="Times New Roman" w:hAnsi="Times New Roman"/>
        </w:rPr>
        <w:t>3. Auswirkungen des B-Plans auf den Wohnungsmarkt</w:t>
      </w:r>
    </w:p>
    <w:p>
      <w:pPr>
        <w:pStyle w:val="Heading3"/>
      </w:pPr>
      <w:r>
        <w:rPr>
          <w:rFonts w:ascii="Times New Roman" w:hAnsi="Times New Roman"/>
        </w:rPr>
        <w:t>3.1 Marktmietpreise im Plangebiet</w:t>
      </w:r>
    </w:p>
    <w:p>
      <w:pPr>
        <w:jc w:val="left"/>
      </w:pPr>
      <w:r>
        <w:t>Die 420 WE unterteilen sich (städtebaulicher Vertrag):</w:t>
      </w:r>
    </w:p>
    <w:p>
      <w:pPr>
        <w:pStyle w:val="ListBullet"/>
      </w:pPr>
      <w:r>
        <w:t>126 WE gefördert (WBS, Nettokaltmiete max. 8,50 EUR/m²)</w:t>
      </w:r>
    </w:p>
    <w:p>
      <w:pPr>
        <w:pStyle w:val="ListBullet"/>
      </w:pPr>
      <w:r>
        <w:t>294 WE Marktmiete (prognostiziert: 16–19 EUR/m²)</w:t>
      </w:r>
    </w:p>
    <w:p>
      <w:pPr>
        <w:pStyle w:val="Heading3"/>
      </w:pPr>
      <w:r>
        <w:rPr>
          <w:rFonts w:ascii="Times New Roman" w:hAnsi="Times New Roman"/>
        </w:rPr>
        <w:t>3.2 Verdrängungseffekte</w:t>
      </w:r>
    </w:p>
    <w:p>
      <w:pPr>
        <w:jc w:val="left"/>
      </w:pPr>
      <w:r>
        <w:t>Prof. Schöner-Hoffmanns Analyse ergibt folgende Verdrängungsrisiken:</w:t>
      </w:r>
    </w:p>
    <w:p>
      <w:pPr>
        <w:pStyle w:val="ListBullet"/>
      </w:pPr>
      <w:r>
        <w:t>Die Ansiedlung von 420 WE hochwertiger Marktmiete in einer bereits überhitzten Mikrolage verstärkt den Aufwertungsdruck auf die umliegende Bestandsbebauung (Gentrifizierungseffekt, Kontextaufwertung).</w:t>
      </w:r>
    </w:p>
    <w:p>
      <w:pPr>
        <w:pStyle w:val="ListBullet"/>
      </w:pPr>
      <w:r>
        <w:t>In einem Umkreis von 300 m befinden sich rd. 2.100 Bestandswohnungen; davon ca. 380 mit laufenden Mietverträgen unter 10 EUR/m² (Altstrecken-Mieten).</w:t>
      </w:r>
    </w:p>
    <w:p>
      <w:pPr>
        <w:pStyle w:val="ListBullet"/>
      </w:pPr>
      <w:r>
        <w:t>Erfahrungswerte vergleichbarer Berliner Projekte (z.B. Neubau Mediaspree) zeigen Mietpreisanstiege im Umfeld von 8–15 % innerhalb von 3 Jahren.</w:t>
      </w:r>
    </w:p>
    <w:p>
      <w:pPr>
        <w:pStyle w:val="Heading3"/>
      </w:pPr>
      <w:r>
        <w:rPr>
          <w:rFonts w:ascii="Times New Roman" w:hAnsi="Times New Roman"/>
        </w:rPr>
        <w:t>3.3 Folgen für soziale Infrastruktur</w:t>
      </w:r>
    </w:p>
    <w:p>
      <w:pPr>
        <w:pStyle w:val="ListBullet"/>
      </w:pPr>
      <w:r>
        <w:t>Grundschule Spreewiesenweg: Kapazität 540 Schüler, derzeitige Belegung 498; 420 WE erzeugen rund 52 weitere Grundschulkinder (Berliner Richtwert 12,4 Kinder/100 WE).</w:t>
      </w:r>
    </w:p>
    <w:p>
      <w:pPr>
        <w:pStyle w:val="ListBullet"/>
      </w:pPr>
      <w:r>
        <w:t>Kitas im Umfeld: 3 Einrichtungen mit zusammen 210 Plätzen; Wartelisten bereits bei 85 Kindern.</w:t>
      </w:r>
    </w:p>
    <w:p>
      <w:pPr>
        <w:pStyle w:val="ListBullet"/>
      </w:pPr>
      <w:r>
        <w:t>Ärztliche Versorgung: 2 Allgemeinmediziner im 500-m-Radius; keine Kapazitätserweiterung geplant.</w:t>
      </w:r>
    </w:p>
    <w:p/>
    <w:p>
      <w:pPr>
        <w:pStyle w:val="Heading2"/>
      </w:pPr>
      <w:r>
        <w:rPr>
          <w:rFonts w:ascii="Times New Roman" w:hAnsi="Times New Roman"/>
        </w:rPr>
        <w:t>4. Begründungsdefizit B-Plan</w:t>
      </w:r>
    </w:p>
    <w:p>
      <w:pPr>
        <w:jc w:val="left"/>
      </w:pPr>
      <w:r>
        <w:t>Die Begründung des B-Plans XV-43d enthält auf S. 54 lediglich den Satz: „Durch den Anteil geförderter Wohnungen (30 %) wird ein Beitrag zur sozialen Mischung geleistet." Eine qualifizierte Analyse der Verdrängungsrisiken, der Infrastrukturfolgekosten und der Auswirkungen auf bestehende Mietverhältnisse im Umfeld fehlt vollständig.</w:t>
      </w:r>
    </w:p>
    <w:p>
      <w:pPr>
        <w:jc w:val="left"/>
      </w:pPr>
      <w:r>
        <w:t>Das BVerwG verlangt eine Ermittlung und Bewertung aller abwägungsrelevanten Belange (§ 2 Abs. 3 BauGB). Die reine Nennung einer WBS-Quote ohne Analyse der Gesamtauswirkungen ist kein ausreichendes Ermittlungsergebnis (BVerwG, Urt. v. 09.04.2008 — 4 CN 1.07, BVerwGE 131, 100).</w:t>
      </w:r>
    </w:p>
    <w:p/>
    <w:p>
      <w:pPr>
        <w:pStyle w:val="Heading2"/>
      </w:pPr>
      <w:r>
        <w:rPr>
          <w:rFonts w:ascii="Times New Roman" w:hAnsi="Times New Roman"/>
        </w:rPr>
        <w:t>5. Milieuschutzsatzung (§ 172 BauGB)</w:t>
      </w:r>
    </w:p>
    <w:p>
      <w:pPr>
        <w:jc w:val="left"/>
      </w:pPr>
      <w:r>
        <w:t>Das Plangebiet selbst liegt nicht in einem Milieuschutzgebiet. Die angrenzende Bebauung Warnitzer Straße / Laskerstraße befindet sich jedoch im Milieuschutzgebiet MG-FK-07 (Beschluss BVV 2021). Eine Auswirkungsanalyse des B-Plans auf die Schutzziele des Milieuschutzgebiets (§ 172 Abs. 1 Satz 1 Nr. 2 BauGB) fehlt in der Begründung.</w:t>
      </w:r>
    </w:p>
    <w:p/>
    <w:p>
      <w:pPr>
        <w:pStyle w:val="Heading2"/>
      </w:pPr>
      <w:r>
        <w:rPr>
          <w:rFonts w:ascii="Times New Roman" w:hAnsi="Times New Roman"/>
        </w:rPr>
        <w:t>6. Schlussfolgerung</w:t>
      </w:r>
    </w:p>
    <w:p>
      <w:pPr>
        <w:jc w:val="left"/>
      </w:pPr>
      <w:r>
        <w:t>Die BI rügt den Abwägungsausfall bei sozialen Belangen als erheblichen Fehler (§ 214 Abs. 3 Satz 2 BauGB). Der Normenkontrollantrag beantragt die Vorlage des TU-Gutachtens (Prof. Schöner-Hoffmann) als Beweismittel sowie ggf. ein Sachverständigengutachten des OVG nach § 98 VwGO.</w:t>
      </w:r>
    </w:p>
    <w:p>
      <w:pPr>
        <w:jc w:val="left"/>
      </w:pPr>
      <w:r>
        <w:t>Quellen: dejure.org (§ 1 BauGB, § 172 BauGB, § 2 BauGB); BVerwG, Urt. v. 09.04.2008 — 4 CN 1.07 (bundesverwaltungsgericht.de); IBB Wohnungsmarktbericht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