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Bekanntmachung Amtsblatt Berlin — § 215 BauGB Rügeobliegenheit</w:t>
      </w:r>
    </w:p>
    <w:p/>
    <w:p>
      <w:pPr>
        <w:pStyle w:val="Heading2"/>
      </w:pPr>
      <w:r>
        <w:rPr>
          <w:rFonts w:ascii="Times New Roman" w:hAnsi="Times New Roman"/>
        </w:rPr>
        <w:t>1. Bekanntmachungstext (Amtsblatt Berlin Nr. 12/2026 vom 20.03.2026)</w:t>
      </w:r>
    </w:p>
    <w:p/>
    <w:p>
      <w:pPr>
        <w:jc w:val="left"/>
      </w:pPr>
      <w:r>
        <w:rPr>
          <w:b/>
        </w:rPr>
        <w:t>Bebauungsplan XV-43d „Spreepark Friedrichshain"</w:t>
      </w:r>
    </w:p>
    <w:p>
      <w:pPr>
        <w:jc w:val="left"/>
      </w:pPr>
      <w:r>
        <w:t>Bezirk Friedrichshain-Kreuzberg von Berlin</w:t>
      </w:r>
    </w:p>
    <w:p>
      <w:pPr>
        <w:jc w:val="left"/>
      </w:pPr>
      <w:r>
        <w:t>Das Bezirksamt Friedrichshain-Kreuzberg von Berlin hat den Bebauungsplan XV-43d „Spreepark Friedrichshain" am 12. März 2026 als Satzung beschlossen.</w:t>
      </w:r>
    </w:p>
    <w:p>
      <w:pPr>
        <w:jc w:val="left"/>
      </w:pPr>
      <w:r>
        <w:t>Das Plangebiet befindet sich zwischen Spreeuferweg (N), S-Bahn-Trasse (O), Stadtteilpark Friedrichshain-Mitte (W) und der Spree (S), Gemarkung Friedrichshain.</w:t>
      </w:r>
    </w:p>
    <w:p>
      <w:pPr>
        <w:jc w:val="left"/>
      </w:pPr>
      <w:r>
        <w:t>Der Bebauungsplan XV-43d mit Begründung und Umweltbericht kann zu den Sprechzeiten des Stadtentwicklungsamts Friedrichshain-Kreuzberg, Yorkstraße 4–11, 10965 Berlin, Zimmer 206, eingesehen werden. Zusätzlich sind der Plan und die Begründung unter www.berlin.de/ba-friedrichshain-kreuzberg/bplan-xv-43d im Internet einzusehen.</w:t>
      </w:r>
    </w:p>
    <w:p>
      <w:pPr>
        <w:jc w:val="left"/>
      </w:pPr>
      <w:r>
        <w:rPr>
          <w:b/>
        </w:rPr>
        <w:t>Hinweis nach § 215 Abs. 2 BauGB:</w:t>
      </w:r>
    </w:p>
    <w:p>
      <w:pPr>
        <w:jc w:val="left"/>
      </w:pPr>
      <w:r>
        <w:t>Eine Verletzung der in § 214 Abs. 1 Satz 1 Nr. 1–3 und Abs. 2 BauGB bezeichneten Vorschriften über die Aufstellung des Bauleitplans sowie Mängel der Abwägung nach § 214 Abs. 3 Satz 2 BauGB sind unbeachtlich, wenn sie nicht innerhalb eines Jahres seit dieser Bekanntmachung schriftlich gegenüber der Gemeinde geltend gemacht worden sind.</w:t>
      </w:r>
    </w:p>
    <w:p>
      <w:pPr>
        <w:jc w:val="left"/>
      </w:pPr>
      <w:r>
        <w:t>Der Sachverhalt, der die Verletzung oder den Mangel begründen soll, ist darzulegen.</w:t>
      </w:r>
    </w:p>
    <w:p>
      <w:pPr>
        <w:jc w:val="left"/>
      </w:pPr>
      <w:r>
        <w:rPr>
          <w:b/>
        </w:rPr>
        <w:t>Hinweis nach § 44 Abs. 3 Satz 2 BauGB:</w:t>
      </w:r>
    </w:p>
    <w:p>
      <w:pPr>
        <w:jc w:val="left"/>
      </w:pPr>
      <w:r>
        <w:t>Etwaige Entschädigungsansprüche nach §§ 39 bis 42 BauGB erlöschen, wenn nicht innerhalb von drei Jahren nach Ablauf des Kalenderjahres, in dem die Vermögensnachteile eingetreten sind, die Fälligkeit des Anspruchs herbeigeführt wird.</w:t>
      </w:r>
    </w:p>
    <w:p>
      <w:pPr>
        <w:jc w:val="left"/>
      </w:pPr>
      <w:r>
        <w:t>Berlin, 20. März 2026</w:t>
      </w:r>
    </w:p>
    <w:p>
      <w:pPr>
        <w:jc w:val="left"/>
      </w:pPr>
      <w:r>
        <w:t>Das Bezirksamt Friedrichshain-Kreuzberg von Berlin</w:t>
      </w:r>
    </w:p>
    <w:p/>
    <w:p>
      <w:pPr>
        <w:pStyle w:val="Heading2"/>
      </w:pPr>
      <w:r>
        <w:rPr>
          <w:rFonts w:ascii="Times New Roman" w:hAnsi="Times New Roman"/>
        </w:rPr>
        <w:t>2. Analyse: Ordnungsgemäßheit der Bekanntmachung</w:t>
      </w:r>
    </w:p>
    <w:p>
      <w:pPr>
        <w:pStyle w:val="Heading3"/>
      </w:pPr>
      <w:r>
        <w:rPr>
          <w:rFonts w:ascii="Times New Roman" w:hAnsi="Times New Roman"/>
        </w:rPr>
        <w:t>§ 10 Abs. 3 BauGB — Bekanntmachungsinhalt</w:t>
      </w:r>
    </w:p>
    <w:p>
      <w:pPr>
        <w:jc w:val="left"/>
      </w:pPr>
      <w:r>
        <w:t>Die Bekanntmachung enthält alle nach § 10 Abs. 3 BauGB erforderlichen Elemente:</w:t>
      </w:r>
    </w:p>
    <w:p>
      <w:pPr>
        <w:pStyle w:val="ListBullet"/>
      </w:pPr>
      <w:r>
        <w:t>Bezeichnung des Plans (XV-43d) und Plangebiet. ✓</w:t>
      </w:r>
    </w:p>
    <w:p>
      <w:pPr>
        <w:pStyle w:val="ListBullet"/>
      </w:pPr>
      <w:r>
        <w:t>Hinweis auf Auslegungs-/Einsichtsstelle. ✓</w:t>
      </w:r>
    </w:p>
    <w:p>
      <w:pPr>
        <w:pStyle w:val="ListBullet"/>
      </w:pPr>
      <w:r>
        <w:t>Hinweis auf Internet-Veröffentlichung. ✓</w:t>
      </w:r>
    </w:p>
    <w:p>
      <w:pPr>
        <w:pStyle w:val="ListBullet"/>
      </w:pPr>
      <w:r>
        <w:t>§ 215 BauGB-Hinweis mit Sachverhaltsdarlage-Anforderung. ✓</w:t>
      </w:r>
    </w:p>
    <w:p>
      <w:pPr>
        <w:pStyle w:val="ListBullet"/>
      </w:pPr>
      <w:r>
        <w:t>§ 44 Abs. 3 Satz 2 BauGB-Hinweis. ✓</w:t>
      </w:r>
    </w:p>
    <w:p>
      <w:pPr>
        <w:jc w:val="left"/>
      </w:pPr>
      <w:r>
        <w:rPr>
          <w:b/>
        </w:rPr>
        <w:t>Kein formeller Fehler der Bekanntmachung selbst.</w:t>
      </w:r>
    </w:p>
    <w:p/>
    <w:p>
      <w:pPr>
        <w:pStyle w:val="Heading2"/>
      </w:pPr>
      <w:r>
        <w:rPr>
          <w:rFonts w:ascii="Times New Roman" w:hAnsi="Times New Roman"/>
        </w:rPr>
        <w:t>3. § 215 BauGB — Rügeobliegenheit und Fristlauf</w:t>
      </w:r>
    </w:p>
    <w:p>
      <w:pPr>
        <w:pStyle w:val="Heading3"/>
      </w:pPr>
      <w:r>
        <w:rPr>
          <w:rFonts w:ascii="Times New Roman" w:hAnsi="Times New Roman"/>
        </w:rPr>
        <w:t>Fristbeginn</w:t>
      </w:r>
    </w:p>
    <w:p>
      <w:pPr>
        <w:jc w:val="left"/>
      </w:pPr>
      <w:r>
        <w:t>Die Rügeobliegenheitsfrist beginnt mit der Bekanntmachung am 20.03.2026 und endet am 20.03.2027 (§ 215 Abs. 1 BauGB).</w:t>
      </w:r>
    </w:p>
    <w:p>
      <w:pPr>
        <w:pStyle w:val="Heading3"/>
      </w:pPr>
      <w:r>
        <w:rPr>
          <w:rFonts w:ascii="Times New Roman" w:hAnsi="Times New Roman"/>
        </w:rPr>
        <w:t>Rügeschreiben der BI</w:t>
      </w:r>
    </w:p>
    <w:p>
      <w:pPr>
        <w:jc w:val="left"/>
      </w:pPr>
      <w:r>
        <w:t>Die BI hat durch die Kanzlei am 28.03.2026 ein umfassendes Rügeschreiben an das Bezirksamt Friedrichshain-Kreuzberg gerichtet (Posteingang beim Bezirksamt: 29.03.2026 lt. Eingangsbestätigung).</w:t>
      </w:r>
    </w:p>
    <w:p>
      <w:pPr>
        <w:jc w:val="left"/>
      </w:pPr>
      <w:r>
        <w:rPr>
          <w:b/>
        </w:rPr>
        <w:t>Inhalt des Rügeschreibens (Zusammenfassung):</w:t>
      </w:r>
    </w:p>
    <w:p>
      <w:pPr>
        <w:pStyle w:val="ListNumber"/>
      </w:pPr>
      <w:r>
        <w:t>Bekanntmachungsmangel Aufstellungsbeschluss (Mangel 1: unzureichende Gebietsabgrenzung; Mangel 2: fehlende Hinweise auf Beteiligung; Mangel 3: Verzögerung 77 Tage).</w:t>
      </w:r>
    </w:p>
    <w:p>
      <w:pPr>
        <w:pStyle w:val="ListNumber"/>
      </w:pPr>
      <w:r>
        <w:t>Formalmangel frühzeitige Bürgerbeteiligung (§ 3 Abs. 1 BauGB): Ankündigungsfrist, fehlende Unterlagen, keine Alternativdiskussion.</w:t>
      </w:r>
    </w:p>
    <w:p>
      <w:pPr>
        <w:pStyle w:val="ListNumber"/>
      </w:pPr>
      <w:r>
        <w:t>Abwägungsdefizit Grünflächenversorgung (§ 1 Abs. 6 Nr. 3, § 2 Abs. 3 BauGB): keine Versorgungsquoten-Analyse.</w:t>
      </w:r>
    </w:p>
    <w:p>
      <w:pPr>
        <w:pStyle w:val="ListNumber"/>
      </w:pPr>
      <w:r>
        <w:t>Abwägungsdefizit Klimaanpassung (§ 1 Abs. 6 Nr. 7h BauGB): keine Kaltluftschneisen-Analyse.</w:t>
      </w:r>
    </w:p>
    <w:p>
      <w:pPr>
        <w:pStyle w:val="ListNumber"/>
      </w:pPr>
      <w:r>
        <w:t>Abwägungsfehlgewichtung Artenschutz (§ 44 BNatSchG, § 1 Abs. 6 Nr. 7a BauGB): Gutachten methodisch unzureichend, CEF-Maßnahme nicht vorgezogen.</w:t>
      </w:r>
    </w:p>
    <w:p>
      <w:pPr>
        <w:pStyle w:val="ListNumber"/>
      </w:pPr>
      <w:r>
        <w:t>Abwägungsfehlgewichtung Lärmschutz (§ 1 Abs. 6 Nr. 1 BauGB): Prognosezuschlag fehlt, Fensterlüftung und Außenwohnbereiche nicht bewertet.</w:t>
      </w:r>
    </w:p>
    <w:p>
      <w:pPr>
        <w:pStyle w:val="ListNumber"/>
      </w:pPr>
      <w:r>
        <w:t>Abwägungsausfall soziale Belange (§ 1 Abs. 6 Nr. 2 BauGB): keine Verdrängungsanalyse.</w:t>
      </w:r>
    </w:p>
    <w:p>
      <w:pPr>
        <w:jc w:val="left"/>
      </w:pPr>
      <w:r>
        <w:t>Darlegung des Sachverhalts: Jede Rüge enthält 2–8 Seiten Begründung mit Quellennachweisen.</w:t>
      </w:r>
    </w:p>
    <w:p/>
    <w:p>
      <w:pPr>
        <w:pStyle w:val="Heading2"/>
      </w:pPr>
      <w:r>
        <w:rPr>
          <w:rFonts w:ascii="Times New Roman" w:hAnsi="Times New Roman"/>
        </w:rPr>
        <w:t>4. Bedeutung für das Normenkontrollverfahren</w:t>
      </w:r>
    </w:p>
    <w:p>
      <w:pPr>
        <w:jc w:val="left"/>
      </w:pPr>
      <w:r>
        <w:t>Die § 215 BauGB-Rüge ist Voraussetzung für die Geltendmachung der meisten Verfahrensmängel im Normenkontrollverfahren. Ohne fristgemäße Rüge werden Mängel nach § 214 Abs. 1 Satz 1 Nr. 1–3 BauGB unbeachtlich. Die vorliegende Rüge wurde innerhalb der Jahresfrist und mit hinreichender Sachverhaltsdarlegung erhoben.</w:t>
      </w:r>
    </w:p>
    <w:p>
      <w:pPr>
        <w:jc w:val="left"/>
      </w:pPr>
      <w:r>
        <w:t>Das OVG Berlin-Brandenburg hat betont, dass die Anforderungen an die Sachverhaltsdarlegung im Rügeschreiben nicht überspannt werden dürfen; es genügt, wenn der Mangel so bezeichnet wird, dass die Gemeinde erkennen kann, welche konkrete Verletzung geltend gemacht wird (OVG Berlin-Brandenburg, Urt. v. 19.06.2019 — 10 A 4.17).</w:t>
      </w:r>
    </w:p>
    <w:p>
      <w:pPr>
        <w:jc w:val="left"/>
      </w:pPr>
      <w:r>
        <w:t>Quellen: dejure.org (§ 215 BauGB, § 214 BauGB, § 10 BauGB); OVG Berlin-Brandenburg, Urt. v. 19.06.2019 — 10 A 4.17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