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19 — Replik der Antragstellerin (Bürgerinitiative „Rettet den Spreeuferpark Friedrichshain" e.V.)</w:t>
      </w:r>
    </w:p>
    <w:p>
      <w:pPr>
        <w:jc w:val="left"/>
      </w:pPr>
      <w:r>
        <w:t>OVG Berlin-Brandenburg · AZ 10 A 1.26</w:t>
      </w:r>
    </w:p>
    <w:p>
      <w:pPr>
        <w:jc w:val="left"/>
      </w:pPr>
      <w:r>
        <w:t>Antragstellerin: Bürgerinitiative „Rettet den Spreeuferpark Friedrichshain" e.V.</w:t>
      </w:r>
    </w:p>
    <w:p>
      <w:pPr>
        <w:jc w:val="left"/>
      </w:pPr>
      <w:r>
        <w:t>Prozessbevollmächtigte: RAin Dr. Friederike Pohl-Krauss</w:t>
      </w:r>
    </w:p>
    <w:p>
      <w:pPr>
        <w:jc w:val="left"/>
      </w:pPr>
      <w:r>
        <w:t>Datum: 20. Juni 2026</w:t>
      </w:r>
    </w:p>
    <w:p/>
    <w:p>
      <w:pPr>
        <w:pStyle w:val="Heading2"/>
      </w:pPr>
      <w:r>
        <w:rPr>
          <w:rFonts w:ascii="Times New Roman" w:hAnsi="Times New Roman"/>
        </w:rPr>
        <w:t>Vorbemerkung</w:t>
      </w:r>
    </w:p>
    <w:p>
      <w:pPr>
        <w:jc w:val="left"/>
      </w:pPr>
      <w:r>
        <w:t>Die Antragstellerin nimmt auf die Erwiderung des Antragsgegners vom 30.05.2026 wie folgt Stellung. Die Erwiderung des Antragsgegners ist in wesentlichen Teilen rechtlich nicht tragfähig.</w:t>
      </w:r>
    </w:p>
    <w:p/>
    <w:p>
      <w:pPr>
        <w:pStyle w:val="Heading2"/>
      </w:pPr>
      <w:r>
        <w:rPr>
          <w:rFonts w:ascii="Times New Roman" w:hAnsi="Times New Roman"/>
        </w:rPr>
        <w:t>I. Zum Klimaanpassungsbelang (§ 1 Abs. 6 Nr. 7h BauGB)</w:t>
      </w:r>
    </w:p>
    <w:p>
      <w:pPr>
        <w:pStyle w:val="Heading3"/>
      </w:pPr>
      <w:r>
        <w:rPr>
          <w:rFonts w:ascii="Times New Roman" w:hAnsi="Times New Roman"/>
        </w:rPr>
        <w:t>Zur Verbindlichkeit des Klimaatlas</w:t>
      </w:r>
    </w:p>
    <w:p>
      <w:pPr>
        <w:jc w:val="left"/>
      </w:pPr>
      <w:r>
        <w:t>Der Antragsgegner meint, der Klimaatlas Berlin sei ein „informelles Planungsinstrument ohne normative Verbindlichkeit" und begründe keine Abwägungspflicht. Dies verkennt die Rechtsnatur von § 2 Abs. 3 BauGB.</w:t>
      </w:r>
    </w:p>
    <w:p>
      <w:pPr>
        <w:jc w:val="left"/>
      </w:pPr>
      <w:r>
        <w:t>Das Ermittlungsgebot des § 2 Abs. 3 BauGB verlangt, dass alle abwägungserheblichen Belange ermittelt und bewertet werden. Die Abwägungserheblichkeit eines Belangs richtet sich nicht danach, ob es eine rechtsverbindliche Norm gibt, die ihn explizit vorschreibt. Vielmehr ist ein Belang abwägungserheblich, wenn er nach Lage der Dinge erkennbar berührt ist (BVerwG, Urt. v. 09.04.2008 — 4 CN 1.07, BVerwGE 131, 100).</w:t>
      </w:r>
    </w:p>
    <w:p>
      <w:pPr>
        <w:jc w:val="left"/>
      </w:pPr>
      <w:r>
        <w:t>Dass der Klimaatlas Berlin 2023 das Plangebiet ausdrücklich als „klimatisch bedeutsame Freifläche" ausweist, macht den Klimaschutzbelang erkennbar. Das Bezirksamt hatte Kenntnis vom Klimaatlas (er ist online zugänglich und wird von der Senatsverwaltung für Stadtentwicklung für die Bauleitplanung empfohlen). Die vollständige Nichtbefassung mit diesem Belang ist ein Abwägungsausfall.</w:t>
      </w:r>
    </w:p>
    <w:p>
      <w:pPr>
        <w:jc w:val="left"/>
      </w:pPr>
      <w:r>
        <w:t>Das von der Gegenseite angeführte Urteil BVerwG, Beschl. v. 14.03.2019 — 4 BN 30.18 ist der Kanzlei nicht bekannt; die Antragstellerin bittet den Antragsgegner um Vorlage des vollständigen Entscheidungstexts. Ohne dessen Prüfung wird der Verweis bestritten.</w:t>
      </w:r>
    </w:p>
    <w:p>
      <w:pPr>
        <w:pStyle w:val="Heading3"/>
      </w:pPr>
      <w:r>
        <w:rPr>
          <w:rFonts w:ascii="Times New Roman" w:hAnsi="Times New Roman"/>
        </w:rPr>
        <w:t>Zur Dachbegrünung als Kompensation</w:t>
      </w:r>
    </w:p>
    <w:p>
      <w:pPr>
        <w:jc w:val="left"/>
      </w:pPr>
      <w:r>
        <w:t>Die Behauptung des Antragsgegners, Dachbegrünung kompensiere die Kaltluftfunktion, ist fachlich falsch. Kaltluft entsteht durch bodennahe Ausstrahlung auf unversiegelten, vegetationsbestandenen Flächen; eine Dachbegrünung auf 26 m Höhe produziert keine bodennahen Kaltluftströme. Dies ist unstreitige Fachauffassung (Klimaatlas Berlin 2023, S. 14–17; Schrifttum: Endlicher/Kress 2022, Stadtklima und Bauleitplanung, S. 112).</w:t>
      </w:r>
    </w:p>
    <w:p/>
    <w:p>
      <w:pPr>
        <w:pStyle w:val="Heading2"/>
      </w:pPr>
      <w:r>
        <w:rPr>
          <w:rFonts w:ascii="Times New Roman" w:hAnsi="Times New Roman"/>
        </w:rPr>
        <w:t>II. Zum Artenschutzkomplex</w:t>
      </w:r>
    </w:p>
    <w:p>
      <w:pPr>
        <w:pStyle w:val="Heading3"/>
      </w:pPr>
      <w:r>
        <w:rPr>
          <w:rFonts w:ascii="Times New Roman" w:hAnsi="Times New Roman"/>
        </w:rPr>
        <w:t>Zur Methodik des Gutachtens</w:t>
      </w:r>
    </w:p>
    <w:p>
      <w:pPr>
        <w:jc w:val="left"/>
      </w:pPr>
      <w:r>
        <w:t>Der Antragsgegner behauptet, das Gutachten entspreche dem „methodischen Standard für Berlin". Dies trifft nicht zu. Das BfN-Skript 329 ist in Berlin verbindlich als Prüfungsstandard anerkannt (Senatsverwaltung für Stadtentwicklung, Hinweisblatt Artenschutzrechtliche Prüfung in der Bauleitplanung, 2022). Dieses Skript verlangt mind. 4–5 Begehungen für Zauneidechse; das Gutachten führte nur 2 durch. Das ist kein Ermessensspielraum, sondern ein dokumentierter methodischer Fehler.</w:t>
      </w:r>
    </w:p>
    <w:p>
      <w:pPr>
        <w:pStyle w:val="Heading3"/>
      </w:pPr>
      <w:r>
        <w:rPr>
          <w:rFonts w:ascii="Times New Roman" w:hAnsi="Times New Roman"/>
        </w:rPr>
        <w:t>Zur CEF-Maßnahme</w:t>
      </w:r>
    </w:p>
    <w:p>
      <w:pPr>
        <w:jc w:val="left"/>
      </w:pPr>
      <w:r>
        <w:t>Der Antragsgegner meint, die Formulierung „vor Baubeginn" im städtebaulichen Vertrag sei ausreichend. Das BVerwG (Urt. v. 14.07.2011 — 9 A 12.10) verlangt jedoch, dass die CEF-Maßnahme vollständig funktionsfähig ist, bevor der erste Eingriff in die Fortpflanzungsstätten erfolgt. „Baubeginn" und „erste Rodung/Baufeldräumung" fallen zeitlich auseinander. Eine Eidechsen-Umsiedlung und Habitatvorbereitung dauert min. 4–6 Wochen; die Rummelsburger Heide muss vorher fertiggestellt sein. Der städtebauliche Vertrag regelt dies nicht präzise.</w:t>
      </w:r>
    </w:p>
    <w:p/>
    <w:p>
      <w:pPr>
        <w:pStyle w:val="Heading2"/>
      </w:pPr>
      <w:r>
        <w:rPr>
          <w:rFonts w:ascii="Times New Roman" w:hAnsi="Times New Roman"/>
        </w:rPr>
        <w:t>III. Zum Lärmschutz</w:t>
      </w:r>
    </w:p>
    <w:p>
      <w:pPr>
        <w:pStyle w:val="Heading3"/>
      </w:pPr>
      <w:r>
        <w:rPr>
          <w:rFonts w:ascii="Times New Roman" w:hAnsi="Times New Roman"/>
        </w:rPr>
        <w:t>Zu Prognosezuschlag und Schall 03</w:t>
      </w:r>
    </w:p>
    <w:p>
      <w:pPr>
        <w:jc w:val="left"/>
      </w:pPr>
      <w:r>
        <w:t>Der Antragsgegner meint, Schall 03 sei nur für die Genehmigung von Eisenbahninfrastruktur anwendbar. Das ist unzutreffend: Nach § 4 Schall 03 (2014) gilt die Richtlinie auch für die Beurteilung von Immissionen bei Neubauvorhaben im Bereich bestehender Schieneninfrastruktur, wenn im Bebauungsplan eine Wohnnutzung in der Lärmzone der Strecke festgesetzt wird. Das Gutachten hätte einen Prognosezuschlag für die erwartete Zunahme des Güterverkehrs auf der S-Bahn-Trasse (Prognose +12 % bis 2030, Bundesnetzagentur Infrastrukturatlas 2024) einrechnen müssen.</w:t>
      </w:r>
    </w:p>
    <w:p>
      <w:pPr>
        <w:pStyle w:val="Heading3"/>
      </w:pPr>
      <w:r>
        <w:rPr>
          <w:rFonts w:ascii="Times New Roman" w:hAnsi="Times New Roman"/>
        </w:rPr>
        <w:t>Zur Fensterlüftung</w:t>
      </w:r>
    </w:p>
    <w:p>
      <w:pPr>
        <w:jc w:val="left"/>
      </w:pPr>
      <w:r>
        <w:t>Das BVerwG (Urt. v. 22.03.2007 — 4 CN 2.06) hat entschieden, dass ein Bebauungsplan, der auf der lärmzugewandten Seite Nachtpegel von 63 dB(A) zulässt und dabei die Fensterlüftung ausschließt, ohne ein Lüftungskonzept festzusetzen, abwägungsfehlerhaft ist. Der Antragsgegner hat diesen zentralen Aspekt in seiner Erwiderung nicht widerlegt.</w:t>
      </w:r>
    </w:p>
    <w:p/>
    <w:p>
      <w:pPr>
        <w:pStyle w:val="Heading2"/>
      </w:pPr>
      <w:r>
        <w:rPr>
          <w:rFonts w:ascii="Times New Roman" w:hAnsi="Times New Roman"/>
        </w:rPr>
        <w:t>IV. Zu den sozialen Belangen</w:t>
      </w:r>
    </w:p>
    <w:p>
      <w:pPr>
        <w:jc w:val="left"/>
      </w:pPr>
      <w:r>
        <w:t>Der Antragsgegner verweist auf das Argument, Neubau senke tendenziell den Preisdruck. Diese Aussage trifft für innerstädtische Premiumlagen mit Wasserblick (Spreeufer) nicht zu: Hier erzeugt Neubau Aufwertungsdruck auf den Bestand (Kontextaufwertung, vgl. Profil-Analyse TU Berlin, Prof. Schöner-Hoffmann, März 2026). Das Ermittlungsgebot des § 2 Abs. 3 BauGB erfordert eine standortbezogene Analyse, nicht die Anwendung stadtentwicklungspolitischer Allgemeinaussagen.</w:t>
      </w:r>
    </w:p>
    <w:p/>
    <w:p>
      <w:pPr>
        <w:pStyle w:val="Heading2"/>
      </w:pPr>
      <w:r>
        <w:rPr>
          <w:rFonts w:ascii="Times New Roman" w:hAnsi="Times New Roman"/>
        </w:rPr>
        <w:t>V. Beweisangebote der Antragstellerin (ergänzend)</w:t>
      </w:r>
    </w:p>
    <w:p>
      <w:pPr>
        <w:pStyle w:val="ListBullet"/>
      </w:pPr>
      <w:r>
        <w:t>Fachgutachten Klimaatlas: Dr. Martina Wendland-Schreier, PIK Potsdam, Stellungnahme 10.06.2026 (Anlage 6).</w:t>
      </w:r>
    </w:p>
    <w:p>
      <w:pPr>
        <w:pStyle w:val="ListBullet"/>
      </w:pPr>
      <w:r>
        <w:t>Aktualisiertes Artenschutzgutachten BUND Berlin: ergänzende Begehungen Mai 2026 (Anlage 7); Ergebnis: 51 Individuen Zauneidechse auf 0,62 ha (ca. doppelt so viele wie Grünplan-Gutachten).</w:t>
      </w:r>
    </w:p>
    <w:p>
      <w:pPr>
        <w:pStyle w:val="ListBullet"/>
      </w:pPr>
      <w:r>
        <w:t>Schallmessprotokoll Schalltech GmbH: gemessener Emissionspegel S-Bahn-Trasse um 2,4 dB(A) höher als Schall 03-Standardwert (Anlage 8).</w:t>
      </w:r>
    </w:p>
    <w:p/>
    <w:p>
      <w:pPr>
        <w:jc w:val="left"/>
      </w:pPr>
      <w:r>
        <w:t>RAin Dr. Friederike Pohl-Krauss · Kanzlei Tannengarten Rechtsanwälte BT, Berlin · 20. Juni 2026</w:t>
      </w:r>
    </w:p>
    <w:p>
      <w:pPr>
        <w:jc w:val="left"/>
      </w:pPr>
      <w:r>
        <w:t>Quellen: dejure.org (§ 2 BauGB, § 47 VwGO, § 44 BNatSchG); BVerwG, Urt. v. 09.04.2008 — 4 CN 1.07 (bundesverwaltungsgericht.de); BVerwG, Urt. v. 14.07.2011 — 9 A 12.10 (bundesverwaltungsgericht.de); BVerwG, Urt. v. 22.03.2007 — 4 CN 2.06 (bundesverwaltungsgericht.de); openjur.de.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