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20 — Protokoll Mündliche Verhandlung OVG Berlin-Brandenburg</w:t>
      </w:r>
    </w:p>
    <w:p>
      <w:pPr>
        <w:jc w:val="left"/>
      </w:pPr>
      <w:r>
        <w:t>OVG Berlin-Brandenburg · AZ 10 A 1.26</w:t>
      </w:r>
    </w:p>
    <w:p>
      <w:pPr>
        <w:jc w:val="left"/>
      </w:pPr>
      <w:r>
        <w:t>Verhandlung: 15. September 2026 · Beginn: 10:00 Uhr · Ende: 16:45 Uhr</w:t>
      </w:r>
    </w:p>
    <w:p>
      <w:pPr>
        <w:jc w:val="left"/>
      </w:pPr>
      <w:r>
        <w:t>Ort: OVG Berlin-Brandenburg, Hardenbergstraße 31, 10623 Berlin, Saal 3</w:t>
      </w:r>
    </w:p>
    <w:p/>
    <w:p>
      <w:pPr>
        <w:pStyle w:val="Heading2"/>
      </w:pPr>
      <w:r>
        <w:rPr>
          <w:rFonts w:ascii="Times New Roman" w:hAnsi="Times New Roman"/>
        </w:rPr>
        <w:t>Besetzung des Senats</w:t>
      </w:r>
    </w:p>
    <w:p>
      <w:pPr>
        <w:jc w:val="left"/>
      </w:pPr>
      <w:r>
        <w:t>Vorsitzender Richter am OVG: VRiOVG Dr. Philipp Kestler-Nußbaum</w:t>
      </w:r>
    </w:p>
    <w:p>
      <w:pPr>
        <w:jc w:val="left"/>
      </w:pPr>
      <w:r>
        <w:t>Richterin am OVG: RiOVG Claudia Menzel-Prader</w:t>
      </w:r>
    </w:p>
    <w:p>
      <w:pPr>
        <w:jc w:val="left"/>
      </w:pPr>
      <w:r>
        <w:t>Richter am OVG: RiOVG Tobias Reuter-Gröning</w:t>
      </w:r>
    </w:p>
    <w:p/>
    <w:p>
      <w:pPr>
        <w:pStyle w:val="Heading2"/>
      </w:pPr>
      <w:r>
        <w:rPr>
          <w:rFonts w:ascii="Times New Roman" w:hAnsi="Times New Roman"/>
        </w:rPr>
        <w:t>Erschienene</w:t>
      </w:r>
    </w:p>
    <w:p>
      <w:pPr>
        <w:jc w:val="left"/>
      </w:pPr>
      <w:r>
        <w:t>Antragstellerin (BI): RAin Dr. Friederike Pohl-Krauss, Ref. jur. Maximilian Görke-Sundermann; Dr. Henrike Tannengarten-Roosendaal (Vorsitzende BI, als Beistand).</w:t>
      </w:r>
    </w:p>
    <w:p>
      <w:pPr>
        <w:jc w:val="left"/>
      </w:pPr>
      <w:r>
        <w:t>Antragsgegner (Land Berlin): RA Dr. Bernd Kaster-Mühlenbeck (Behördenvertreter); Sandra Völkel-Kruse (Stadtplanungsrätin, als Beistand).</w:t>
      </w:r>
    </w:p>
    <w:p>
      <w:pPr>
        <w:jc w:val="left"/>
      </w:pPr>
      <w:r>
        <w:t>Beigeladene (Bauland Spreepark GmbH): RAe Schmitz, Meister &amp; Partner (vertreten durch RA Dr. Florian Meister-Hagenbach); Klaus Steinheim-Wittfeldt (Geschäftsführer, anwesend).</w:t>
      </w:r>
    </w:p>
    <w:p/>
    <w:p>
      <w:pPr>
        <w:pStyle w:val="Heading2"/>
      </w:pPr>
      <w:r>
        <w:rPr>
          <w:rFonts w:ascii="Times New Roman" w:hAnsi="Times New Roman"/>
        </w:rPr>
        <w:t>Verhandlungsverlauf</w:t>
      </w:r>
    </w:p>
    <w:p>
      <w:pPr>
        <w:pStyle w:val="Heading3"/>
      </w:pPr>
      <w:r>
        <w:rPr>
          <w:rFonts w:ascii="Times New Roman" w:hAnsi="Times New Roman"/>
        </w:rPr>
        <w:t>10:05 Uhr — Eröffnung und Prozesslage</w:t>
      </w:r>
    </w:p>
    <w:p>
      <w:pPr>
        <w:jc w:val="left"/>
      </w:pPr>
      <w:r>
        <w:t>VRiOVG Dr. Kestler-Nußbaum eröffnet die Verhandlung und gibt einen Überblick über den Verfahrensstand:</w:t>
      </w:r>
    </w:p>
    <w:p>
      <w:pPr>
        <w:pStyle w:val="ListBullet"/>
      </w:pPr>
      <w:r>
        <w:t>Normenkontrollantrag AZ 10 A 1.26 (Hauptsache) anhängig seit 14.04.2026.</w:t>
      </w:r>
    </w:p>
    <w:p>
      <w:pPr>
        <w:pStyle w:val="ListBullet"/>
      </w:pPr>
      <w:r>
        <w:t>Eilantrag AZ 10 A 1.26 EA: OVG hat mit Beschluss vom 27.05.2026 den B-Plan vorläufig außer Vollzug gesetzt (Begründung: erhebliche Zweifel an Artenschutzgutachten, drohende irreversible Folgen).</w:t>
      </w:r>
    </w:p>
    <w:p>
      <w:pPr>
        <w:pStyle w:val="ListBullet"/>
      </w:pPr>
      <w:r>
        <w:t>Beiladung Bauland Spreepark GmbH: Beschluss vom 05.05.2026.</w:t>
      </w:r>
    </w:p>
    <w:p>
      <w:pPr>
        <w:pStyle w:val="Heading3"/>
      </w:pPr>
      <w:r>
        <w:rPr>
          <w:rFonts w:ascii="Times New Roman" w:hAnsi="Times New Roman"/>
        </w:rPr>
        <w:t>10:20 Uhr — Hinweis des Senats</w:t>
      </w:r>
    </w:p>
    <w:p>
      <w:pPr>
        <w:jc w:val="left"/>
      </w:pPr>
      <w:r>
        <w:t>VRiOVG Dr. Kestler-Nußbaum erteilt einen richterlichen Hinweis: Der Senat neige dazu, den Normenkontrollantrag für begründet zu halten. Tragende Gesichtspunkte:</w:t>
      </w:r>
    </w:p>
    <w:p>
      <w:pPr>
        <w:pStyle w:val="ListNumber"/>
      </w:pPr>
      <w:r>
        <w:rPr>
          <w:b/>
        </w:rPr>
        <w:t>Artenschutz (§ 44 BNatSchG)</w:t>
      </w:r>
      <w:r>
        <w:t>: Das Gegengutachten des BUND (51 statt 28 Individuen) legt erhebliche Zweifel an der Vollständigkeit der Bestandserfassung nahe. Die CEF-Maßnahme war nach dem städtebaulichen Vertrag nicht in einer Weise gesichert, dass ihre Funktionsfähigkeit vor dem ersten Eingriff garantiert ist.</w:t>
      </w:r>
    </w:p>
    <w:p>
      <w:pPr>
        <w:pStyle w:val="ListNumber"/>
      </w:pPr>
      <w:r>
        <w:rPr>
          <w:b/>
        </w:rPr>
        <w:t>Klimaanpassung (§ 1 Abs. 6 Nr. 7h BauGB)</w:t>
      </w:r>
      <w:r>
        <w:t>: Die Nicherbefassung mit dem Klimaatlas Berlin ist angesichts der ausdrücklichen Darstellung des Plangebiets als klimatisch bedeutsam ein Ermittlungsdefizit (§ 2 Abs. 3 BauGB); Dachbegrünung ist kein adäquater Ausgleich.</w:t>
      </w:r>
    </w:p>
    <w:p>
      <w:pPr>
        <w:pStyle w:val="ListNumber"/>
      </w:pPr>
      <w:r>
        <w:rPr>
          <w:b/>
        </w:rPr>
        <w:t>Lärmschutz</w:t>
      </w:r>
      <w:r>
        <w:t>: Die Fensterlüftungs- und Außenwohnbereich-Problematik ist in der Abwägung nicht behandelt worden.</w:t>
      </w:r>
    </w:p>
    <w:p>
      <w:pPr>
        <w:jc w:val="left"/>
      </w:pPr>
      <w:r>
        <w:t>RiOVG Menzel-Prader ergänzt: Der Senat prüfe zudem, ob die Unvollständigkeit der Alternativenprüfung im Umweltbericht die Unwirksamkeit des B-Plans trägt.</w:t>
      </w:r>
    </w:p>
    <w:p>
      <w:pPr>
        <w:pStyle w:val="Heading3"/>
      </w:pPr>
      <w:r>
        <w:rPr>
          <w:rFonts w:ascii="Times New Roman" w:hAnsi="Times New Roman"/>
        </w:rPr>
        <w:t>10:50 Uhr — Vortrag Antragstellerin</w:t>
      </w:r>
    </w:p>
    <w:p>
      <w:pPr>
        <w:jc w:val="left"/>
      </w:pPr>
      <w:r>
        <w:t>RAin Dr. Pohl-Krauss trägt vor und vertieft die Rügen aus dem Normenkontrollantrag und der Replik. Schwerpunkte:</w:t>
      </w:r>
    </w:p>
    <w:p>
      <w:pPr>
        <w:pStyle w:val="ListBullet"/>
      </w:pPr>
      <w:r>
        <w:t>Artenschutz: Vorlage des aktualisierten BUND-Gutachtens (51 Individuen); Anforderungen BfN-Skript 329.</w:t>
      </w:r>
    </w:p>
    <w:p>
      <w:pPr>
        <w:pStyle w:val="ListBullet"/>
      </w:pPr>
      <w:r>
        <w:t>Klimaanpassung: PIK-Gutachten Dr. Wendland-Schreier; Funktion der Kaltluftschneise Spree.</w:t>
      </w:r>
    </w:p>
    <w:p>
      <w:pPr>
        <w:pStyle w:val="ListBullet"/>
      </w:pPr>
      <w:r>
        <w:t>Lärmschutz: Vorlage Schallmessprotokoll Schalltech GmbH (gemessener Überschuss 2,4 dB(A) gegenüber Schall 03-Standard).</w:t>
      </w:r>
    </w:p>
    <w:p>
      <w:pPr>
        <w:pStyle w:val="Heading3"/>
      </w:pPr>
      <w:r>
        <w:rPr>
          <w:rFonts w:ascii="Times New Roman" w:hAnsi="Times New Roman"/>
        </w:rPr>
        <w:t>12:00 — 13:30 Uhr — Mittagspause</w:t>
      </w:r>
    </w:p>
    <w:p>
      <w:pPr>
        <w:pStyle w:val="Heading3"/>
      </w:pPr>
      <w:r>
        <w:rPr>
          <w:rFonts w:ascii="Times New Roman" w:hAnsi="Times New Roman"/>
        </w:rPr>
        <w:t>13:30 Uhr — Vortrag Antragsgegner</w:t>
      </w:r>
    </w:p>
    <w:p>
      <w:pPr>
        <w:jc w:val="left"/>
      </w:pPr>
      <w:r>
        <w:t>RA Dr. Kaster-Mühlenbeck hält an der Rechtsauffassung des Antragsgegners fest, erkennt jedoch an, dass das Artenschutzgutachten methodisch hätte vervollständigt werden können. Er stellt in Aussicht, dass das Bezirksamt bereit sei, das Plangebiet in einem ergänzenden Verfahren (§ 214 Abs. 4 BauGB) zu überarbeiten.</w:t>
      </w:r>
    </w:p>
    <w:p>
      <w:pPr>
        <w:pStyle w:val="Heading3"/>
      </w:pPr>
      <w:r>
        <w:rPr>
          <w:rFonts w:ascii="Times New Roman" w:hAnsi="Times New Roman"/>
        </w:rPr>
        <w:t>14:30 Uhr — Vortrag Beigeladene</w:t>
      </w:r>
    </w:p>
    <w:p>
      <w:pPr>
        <w:jc w:val="left"/>
      </w:pPr>
      <w:r>
        <w:t>RA Dr. Meister-Hagenbach betont das erhebliche wirtschaftliche Interesse des Investors. Der Investor habe 14,8 Mio. EUR in den Grunderwerb investiert; bei Unwirksamkeit des B-Plans würden die Planungskosten (weitere 2,3 Mio. EUR) vollständig entwertet. Er beantragt die Zurückweisung des Normenkontrollantrags.</w:t>
      </w:r>
    </w:p>
    <w:p>
      <w:pPr>
        <w:pStyle w:val="Heading3"/>
      </w:pPr>
      <w:r>
        <w:rPr>
          <w:rFonts w:ascii="Times New Roman" w:hAnsi="Times New Roman"/>
        </w:rPr>
        <w:t>15:20 Uhr — Erörterung Heilungsmöglichkeiten</w:t>
      </w:r>
    </w:p>
    <w:p>
      <w:pPr>
        <w:jc w:val="left"/>
      </w:pPr>
      <w:r>
        <w:t>VRiOVG Dr. Kestler-Nußbaum fragt, ob die Beteiligten einem ergänzenden Verfahren nach § 214 Abs. 4 BauGB zustimmen würden. Antragstellerin: lehnt ab (die Abwägungsfehler seien zu grundlegend; ohne wesentliche Planänderung sei ein ergänzendes Verfahren nicht sinnvoll). Antragsgegner: offen. Beigeladene: offen, sofern B-Plan-Kern (420 WE, 8 Geschosse) erhalten bleibt.</w:t>
      </w:r>
    </w:p>
    <w:p>
      <w:pPr>
        <w:pStyle w:val="Heading3"/>
      </w:pPr>
      <w:r>
        <w:rPr>
          <w:rFonts w:ascii="Times New Roman" w:hAnsi="Times New Roman"/>
        </w:rPr>
        <w:t>16:00 Uhr — Schlussanträge</w:t>
      </w:r>
    </w:p>
    <w:p>
      <w:pPr>
        <w:jc w:val="left"/>
      </w:pPr>
      <w:r>
        <w:t>Antragstellerin: Wie beantragt (Unwirksamkeit, Kostenentscheidung zulasten Antragsgegner).</w:t>
      </w:r>
    </w:p>
    <w:p>
      <w:pPr>
        <w:jc w:val="left"/>
      </w:pPr>
      <w:r>
        <w:t>Antragsgegner: Abweisung des Antrags, hilfsweise ergänzendes Verfahren nach § 214 Abs. 4 BauGB.</w:t>
      </w:r>
    </w:p>
    <w:p>
      <w:pPr>
        <w:jc w:val="left"/>
      </w:pPr>
      <w:r>
        <w:t>Beigeladene: Abweisung des Antrags.</w:t>
      </w:r>
    </w:p>
    <w:p>
      <w:pPr>
        <w:pStyle w:val="Heading3"/>
      </w:pPr>
      <w:r>
        <w:rPr>
          <w:rFonts w:ascii="Times New Roman" w:hAnsi="Times New Roman"/>
        </w:rPr>
        <w:t>16:20 Uhr — Beratung des Senats (nichtöffentlich)</w:t>
      </w:r>
    </w:p>
    <w:p>
      <w:pPr>
        <w:pStyle w:val="Heading3"/>
      </w:pPr>
      <w:r>
        <w:rPr>
          <w:rFonts w:ascii="Times New Roman" w:hAnsi="Times New Roman"/>
        </w:rPr>
        <w:t>16:40 Uhr — Urteilsverkündungstermin</w:t>
      </w:r>
    </w:p>
    <w:p>
      <w:pPr>
        <w:jc w:val="left"/>
      </w:pPr>
      <w:r>
        <w:t>VRiOVG Dr. Kestler-Nußbaum: Urteil wird verkündet am 15. Oktober 2026, 10:00 Uhr, Saal 3 (alternativ schriftliche Zustellung ab 15.10.2026, wenn Senat zur Entscheidung kommt).</w:t>
      </w:r>
    </w:p>
    <w:p>
      <w:pPr>
        <w:pStyle w:val="Heading3"/>
      </w:pPr>
      <w:r>
        <w:rPr>
          <w:rFonts w:ascii="Times New Roman" w:hAnsi="Times New Roman"/>
        </w:rPr>
        <w:t>16:45 Uhr — Schluss der Verhandlung</w:t>
      </w:r>
    </w:p>
    <w:p/>
    <w:p>
      <w:pPr>
        <w:jc w:val="left"/>
      </w:pPr>
      <w:r>
        <w:t>gez. Claudia Menzel-Prader (als protokollführende Richterin) · 15. September 2026</w:t>
      </w:r>
    </w:p>
    <w:p>
      <w:pPr>
        <w:jc w:val="left"/>
      </w:pPr>
      <w:r>
        <w:t>Quellen: dejure.org (§ 47 VwGO, § 214 BauGB); BVerwG, Urt. v. 09.04.2008 — 4 CN 1.07 (bundesverwaltungsgericht.de); openjur.de (OVG Berlin-Brandenburg).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