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Urteil OVG Berlin-Brandenburg 10 A 1.26 — Kassation B-Plan XV-43d</w:t>
      </w:r>
    </w:p>
    <w:p>
      <w:pPr>
        <w:jc w:val="left"/>
      </w:pPr>
      <w:r>
        <w:t>OVG Berlin-Brandenburg</w:t>
      </w:r>
    </w:p>
    <w:p>
      <w:pPr>
        <w:pStyle w:val="ListNumber"/>
      </w:pPr>
      <w:r>
        <w:t>Senat</w:t>
      </w:r>
    </w:p>
    <w:p>
      <w:pPr>
        <w:jc w:val="left"/>
      </w:pPr>
      <w:r>
        <w:t>AZ: 10 A 1.26</w:t>
      </w:r>
    </w:p>
    <w:p>
      <w:pPr>
        <w:jc w:val="left"/>
      </w:pPr>
      <w:r>
        <w:t>Urteil vom 15. Oktober 2026</w:t>
      </w:r>
    </w:p>
    <w:p/>
    <w:p>
      <w:pPr>
        <w:pStyle w:val="Heading2"/>
      </w:pPr>
      <w:r>
        <w:rPr>
          <w:rFonts w:ascii="Times New Roman" w:hAnsi="Times New Roman"/>
        </w:rPr>
        <w:t>Tenor</w:t>
      </w:r>
    </w:p>
    <w:p>
      <w:pPr>
        <w:pStyle w:val="ListNumber"/>
      </w:pPr>
      <w:r>
        <w:t>Der Bebauungsplan XV-43d „Spreepark Friedrichshain" des Bezirks Friedrichshain-Kreuzberg von Berlin (Satzungsbeschluss vom 12. März 2026, bekanntgemacht im Amtsblatt für Berlin Nr. 12/2026 vom 20. März 2026) ist unwirksam.</w:t>
      </w:r>
    </w:p>
    <w:p>
      <w:pPr>
        <w:pStyle w:val="ListNumber"/>
      </w:pPr>
      <w:r>
        <w:t>Der Antragsgegner trägt die Kosten des Verfahrens. Die außergerichtlichen Kosten der Beigeladenen sind nicht erstattungsfähig.</w:t>
      </w:r>
    </w:p>
    <w:p>
      <w:pPr>
        <w:pStyle w:val="ListNumber"/>
      </w:pPr>
      <w:r>
        <w:t>Das Urteil ist vorläufig vollstreckbar.</w:t>
      </w:r>
    </w:p>
    <w:p>
      <w:pPr>
        <w:pStyle w:val="ListNumber"/>
      </w:pPr>
      <w:r>
        <w:t>Die Revision wird nicht zugelassen.</w:t>
      </w:r>
    </w:p>
    <w:p/>
    <w:p>
      <w:pPr>
        <w:pStyle w:val="Heading2"/>
      </w:pPr>
      <w:r>
        <w:rPr>
          <w:rFonts w:ascii="Times New Roman" w:hAnsi="Times New Roman"/>
        </w:rPr>
        <w:t>Tatbestand (Kurzfassung)</w:t>
      </w:r>
    </w:p>
    <w:p>
      <w:pPr>
        <w:jc w:val="left"/>
      </w:pPr>
      <w:r>
        <w:t>Die Antragstellerin, eine anerkannte Bürgerinitiative e.V., wandte sich mit einem Normenkontrollantrag gegen den Bebauungsplan XV-43d, der eine 8-geschossige Wohnbebauung auf dem bisherigen Spreeuferpark Friedrichshain ermöglicht. Wegen des Sachverhalts im Übrigen wird auf die Aktenstücke 01–20 und auf die Schriftsätze der Beteiligten Bezug genommen.</w:t>
      </w:r>
    </w:p>
    <w:p/>
    <w:p>
      <w:pPr>
        <w:pStyle w:val="Heading2"/>
      </w:pPr>
      <w:r>
        <w:rPr>
          <w:rFonts w:ascii="Times New Roman" w:hAnsi="Times New Roman"/>
        </w:rPr>
        <w:t>Entscheidungsgründe</w:t>
      </w:r>
    </w:p>
    <w:p>
      <w:pPr>
        <w:pStyle w:val="Heading3"/>
      </w:pPr>
      <w:r>
        <w:rPr>
          <w:rFonts w:ascii="Times New Roman" w:hAnsi="Times New Roman"/>
        </w:rPr>
        <w:t>I. Zulässigkeit</w:t>
      </w:r>
    </w:p>
    <w:p>
      <w:pPr>
        <w:jc w:val="left"/>
      </w:pPr>
      <w:r>
        <w:t>Der Normenkontrollantrag ist zulässig. Die Antragstellerin ist nach § 47 Abs. 2 Satz 1 VwGO antragsberechtigt; ihre Mitglieder können in ihren eigenen Rechten (Naherholung, Wohnruhe, gesunde Wohnverhältnisse i.S.d. § 1 Abs. 6 Nr. 1 BauGB) durch den Bebauungsplan berührt sein. Die Antragsfrist (§ 47 Abs. 2 Satz 1 VwGO, 1 Jahr) ist gewahrt. Die § 215 BauGB-Rüge v. 28.03.2026 ist fristgerecht und mit hinreichender Sachverhaltsdarlage versehen.</w:t>
      </w:r>
    </w:p>
    <w:p>
      <w:pPr>
        <w:pStyle w:val="Heading3"/>
      </w:pPr>
      <w:r>
        <w:rPr>
          <w:rFonts w:ascii="Times New Roman" w:hAnsi="Times New Roman"/>
        </w:rPr>
        <w:t>II. Begründetheit</w:t>
      </w:r>
    </w:p>
    <w:p>
      <w:pPr>
        <w:jc w:val="left"/>
      </w:pPr>
      <w:r>
        <w:t>Der Bebauungsplan ist wegen mehrerer erheblicher Fehler im Abwägungsvorgang und im Abwägungsergebnis unwirksam.</w:t>
      </w:r>
    </w:p>
    <w:p>
      <w:pPr>
        <w:pStyle w:val="Heading3"/>
      </w:pPr>
      <w:r>
        <w:rPr>
          <w:rFonts w:ascii="Times New Roman" w:hAnsi="Times New Roman"/>
        </w:rPr>
        <w:t>1. Abwägungsfehler Artenschutz (§ 44 Abs. 1 BNatSchG, § 1 Abs. 6 Nr. 7a BauGB)</w:t>
      </w:r>
    </w:p>
    <w:p>
      <w:pPr>
        <w:jc w:val="left"/>
      </w:pPr>
      <w:r>
        <w:t>Das Artenschutzgutachten der Grünplan GmbH (August 2024) weist erhebliche methodische Mängel auf: Es basiert auf lediglich 2 Begehungen, obwohl nach dem in Berlin angewandten Methodenstandard (BfN-Skript 329, Hinweisblatt SenStadtUm 2022) mind. 4 Begehungen einschließlich einer Frühjahrsbegehung erforderlich sind. Das Gegengutachten des BUND (Dr. Wendler-Faber, Januar 2026) und die ergänzende Kartierung (Mai 2026) ergeben eine nahezu doppelt so hohe Individuenzahl (51 statt 28). Dieser Unterschied ist nicht durch unterschiedliche Methoden erklärbar.</w:t>
      </w:r>
    </w:p>
    <w:p>
      <w:pPr>
        <w:jc w:val="left"/>
      </w:pPr>
      <w:r>
        <w:t>Die CEF-Maßnahme auf der Rummelsburger Heide war im Zeitpunkt des Satzungsbeschlusses weder hergestellt noch in ihrer Aufnahmekapazität geprüft. Sie genügt damit nicht dem Anforderungsprofil des BVerwG (Urt. v. 14.07.2011 — 9 A 12.10, BVerwGE 140, 149): CEF-Maßnahmen müssen vor dem ersten Eingriff in Fortpflanzungs- und Ruhestätten vollständig funktionsfähig und in ihrer ökologischen Wirksamkeit gesichert sein.</w:t>
      </w:r>
    </w:p>
    <w:p>
      <w:pPr>
        <w:jc w:val="left"/>
      </w:pPr>
      <w:r>
        <w:t>Dieser Fehler ist erheblich i.S.d. § 214 Abs. 3 BauGB: Er ist offensichtlich (keine Frühjahrskartierung, fehlende Kapazitätsprüfung) und hätte das Abwägungsergebnis beeinflusst (bei korrekter Erfassung von 51 Individuen wäre eine CEF-Fläche von mind. 1.600 m² mit Nachweis der Aufnahmekapazität erforderlich gewesen; eine solche Fläche stand nicht zur Verfügung).</w:t>
      </w:r>
    </w:p>
    <w:p>
      <w:pPr>
        <w:pStyle w:val="Heading3"/>
      </w:pPr>
      <w:r>
        <w:rPr>
          <w:rFonts w:ascii="Times New Roman" w:hAnsi="Times New Roman"/>
        </w:rPr>
        <w:t>2. Abwägungsdefizit Klimaanpassung (§ 1 Abs. 6 Nr. 7h BauGB, § 2 Abs. 3 BauGB)</w:t>
      </w:r>
    </w:p>
    <w:p>
      <w:pPr>
        <w:jc w:val="left"/>
      </w:pPr>
      <w:r>
        <w:t>Der Klimaatlas Berlin 2023 weist das Plangebiet als „klimatisch bedeutsame Freifläche mit Kaltluftproduktionsfunktion" aus. Diese Darstellung war der planenden Behörde bekannt oder hätte ihr bekannt sein müssen. Das vollständige Fehlen einer Kaltluftschneisen-Analyse im Umweltbericht und in der Begründung des B-Plans ist ein Ermittlungsdefizit i.S.d. § 2 Abs. 3 BauGB.</w:t>
      </w:r>
    </w:p>
    <w:p>
      <w:pPr>
        <w:jc w:val="left"/>
      </w:pPr>
      <w:r>
        <w:t>Die Festsetzung einer 60-prozentigen Dachbegrünung (Festsetzung H-1) kompensiert diesen Ermittlungsfehler nicht: Eine Dachbegrünung auf 26 m Höhe produziert keine bodennahen Kaltluftströmungen und ersetzt nicht die Kaltluftproduktionsfunktion einer unversiegelten Freifläche.</w:t>
      </w:r>
    </w:p>
    <w:p>
      <w:pPr>
        <w:jc w:val="left"/>
      </w:pPr>
      <w:r>
        <w:t>Auch dieser Fehler ist erheblich: Er ist offensichtlich (keine Klimaanalyse vorhanden) und kausal (bei korrekter Analyse hätte der Klimabelang in die Abwägung eingestellt werden müssen; es ist zumindest möglich, dass dies das Ergebnis in Richtung einer reduzierten Bebauung oder einer Alternativenprüfung beeinflusst hätte).</w:t>
      </w:r>
    </w:p>
    <w:p>
      <w:pPr>
        <w:pStyle w:val="Heading3"/>
      </w:pPr>
      <w:r>
        <w:rPr>
          <w:rFonts w:ascii="Times New Roman" w:hAnsi="Times New Roman"/>
        </w:rPr>
        <w:t>3. Abwägungsfehlgewichtung Lärmschutz (§ 1 Abs. 6 Nr. 1 BauGB)</w:t>
      </w:r>
    </w:p>
    <w:p>
      <w:pPr>
        <w:jc w:val="left"/>
      </w:pPr>
      <w:r>
        <w:t>Das Lärmschutzgutachten ist in zwei Punkten fehlerhaft: Fehlender Prognosezuschlag (tatsächlich um 2,4 dB(A) zu gering) und fehlende Bewertung von Außenwohnbereichen und Fensterlüftung. Das Bezirksamt hat diese Aspekte in der Abwägungsdokumentation nicht behandelt. Das BVerwG (Urt. v. 22.03.2007 — 4 CN 2.06, BVerwGE 128, 238) verlangt, dass die Planung die Unmöglichkeit der Fensterlüftung in der Abwägung berücksichtigt und ggf. kompensiert (Lüftungskonzept).</w:t>
      </w:r>
    </w:p>
    <w:p>
      <w:pPr>
        <w:pStyle w:val="Heading3"/>
      </w:pPr>
      <w:r>
        <w:rPr>
          <w:rFonts w:ascii="Times New Roman" w:hAnsi="Times New Roman"/>
        </w:rPr>
        <w:t>4. Gesamtergebnis</w:t>
      </w:r>
    </w:p>
    <w:p>
      <w:pPr>
        <w:jc w:val="left"/>
      </w:pPr>
      <w:r>
        <w:t>Der Bebauungsplan ist wegen der unter 1. und 2. festgestellten Abwägungsfehler insgesamt unwirksam. Der Senat sieht keine Möglichkeit einer Teilunwirksamkeit (§ 139 BGB analog), da die Fehler die Planungskonzeption in ihrer Gesamtheit berühren. Ein ergänzendes Verfahren nach § 214 Abs. 4 BauGB käme in Betracht, wenn der Antragsgegner die Artenschutzprüfung und Klimaanalyse nachhole und das Plangebiet ggf. in seiner Dimension verändere; dies bleibt dem Aufstellungsverfahren überlassen.</w:t>
      </w:r>
    </w:p>
    <w:p>
      <w:pPr>
        <w:pStyle w:val="Heading3"/>
      </w:pPr>
      <w:r>
        <w:rPr>
          <w:rFonts w:ascii="Times New Roman" w:hAnsi="Times New Roman"/>
        </w:rPr>
        <w:t>III. Kosten (§ 154 VwGO)</w:t>
      </w:r>
    </w:p>
    <w:p>
      <w:pPr>
        <w:jc w:val="left"/>
      </w:pPr>
      <w:r>
        <w:t>Der Antragsgegner trägt als unterlegene Partei die Kosten. Die Beigeladene hat keine eigenen Anträge gestellt (berichtigend: die Beigeladene hatte Zurückweisung beantragt, trägt daher nach § 154 Abs. 3 VwGO ihre außergerichtlichen Kosten selbst).</w:t>
      </w:r>
    </w:p>
    <w:p>
      <w:pPr>
        <w:pStyle w:val="Heading3"/>
      </w:pPr>
      <w:r>
        <w:rPr>
          <w:rFonts w:ascii="Times New Roman" w:hAnsi="Times New Roman"/>
        </w:rPr>
        <w:t>IV. Revision</w:t>
      </w:r>
    </w:p>
    <w:p>
      <w:pPr>
        <w:jc w:val="left"/>
      </w:pPr>
      <w:r>
        <w:t>Die Revision wird nicht zugelassen (§ 132 Abs. 2 VwGO). Die Rechtssache hat keine grundsätzliche Bedeutung; die angewendeten Rechtssätze entsprechen gesicherter BVerwG-Rechtsprechung.</w:t>
      </w:r>
    </w:p>
    <w:p/>
    <w:p>
      <w:pPr>
        <w:jc w:val="left"/>
      </w:pPr>
      <w:r>
        <w:t>gez. Dr. Kestler-Nußbaum (Vors.) · Menzel-Prader · Reuter-Gröning</w:t>
      </w:r>
    </w:p>
    <w:p>
      <w:pPr>
        <w:jc w:val="left"/>
      </w:pPr>
      <w:r>
        <w:t>Quellen: dejure.org (§ 47 VwGO, § 1 BauGB, § 44 BNatSchG, § 214 BauGB, § 215 BauGB); BVerwG, Urt. v. 14.07.2011 — 9 A 12.10 (bundesverwaltungsgericht.de); BVerwG, Urt. v. 22.03.2007 — 4 CN 2.06 (bundesverwaltungsgericht.de); BVerwG, Urt. v. 09.04.2008 — 4 CN 1.07 (bundesverwaltungsgericht.de);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