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offene Punkte</w:t>
      </w:r>
    </w:p>
    <w:p>
      <w:pPr>
        <w:pStyle w:val="Heading2"/>
      </w:pPr>
      <w:r>
        <w:rPr>
          <w:rFonts w:ascii="Times New Roman" w:hAnsi="Times New Roman"/>
        </w:rPr>
        <w:t>Punkt 1</w:t>
      </w:r>
    </w:p>
    <w:p>
      <w:pPr>
        <w:jc w:val="left"/>
      </w:pPr>
      <w:r>
        <w:t>GmbH-Anteilsabtretung soll am selben Tag wie ein Grundstückskauf vollzogen werden, aber die Vollmacht der Erbin ist nur als Scan vorhanden.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2</w:t>
      </w:r>
    </w:p>
    <w:p>
      <w:pPr>
        <w:jc w:val="left"/>
      </w:pPr>
      <w:r>
        <w:t>Das Grundbuch zeigt in Abteilung II ein altes Wegerecht, das im Kaufvertragsentwurf nicht erwähnt ist.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3</w:t>
      </w:r>
    </w:p>
    <w:p>
      <w:pPr>
        <w:jc w:val="left"/>
      </w:pPr>
      <w:r>
        <w:t>Die Bank verlangt Auszahlung erst nach Rangbestätigung, während der Verkäufer sofortige Fälligkeit behauptet.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4</w:t>
      </w:r>
    </w:p>
    <w:p>
      <w:pPr>
        <w:jc w:val="left"/>
      </w:pPr>
      <w:r>
        <w:t>Ein Beteiligter spricht kaum Deutsch; unklar ist, ob Dolmetscher und Belehrungsvermerk ausreichen.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5</w:t>
      </w:r>
    </w:p>
    <w:p>
      <w:pPr>
        <w:jc w:val="left"/>
      </w:pPr>
      <w:r>
        <w:t>Das Registergericht beanstandet die Gesellschafterliste nach einer Einziehung, weil Nennbeträge und Prozentangaben nicht zusammenpassen.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6</w:t>
      </w:r>
    </w:p>
    <w:p>
      <w:pPr>
        <w:jc w:val="left"/>
      </w:pPr>
      <w:r>
        <w:t>Die Geldwäscheprüfung hängt an einem Treuhandkonstrukt mit ausländischer Holding.</w:t>
      </w:r>
    </w:p>
    <w:p>
      <w:pPr>
        <w:jc w:val="left"/>
      </w:pPr>
      <w:r>
        <w:t>Prüffrage: Welche Unterlage belegt das, welche Rechtsfolge hängt daran und welche Frist läuft?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