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 der Bearbeitung</w:t>
      </w:r>
    </w:p>
    <w:p>
      <w:pPr>
        <w:pStyle w:val="Heading2"/>
      </w:pPr>
      <w:r>
        <w:rPr>
          <w:rFonts w:ascii="Times New Roman" w:hAnsi="Times New Roman"/>
        </w:rPr>
        <w:t>Auftrag</w:t>
      </w:r>
    </w:p>
    <w:p>
      <w:pPr>
        <w:jc w:val="left"/>
      </w:pPr>
      <w:r>
        <w:t>Zu prüfen ist, wie die Mandantin oder der Mandant auf den Vorgang „Akte Waldwinkel: Notariatstag mit GmbH, Immobilie und Erbfall“ reagieren sollte. Das Gutachten ist als Arbeitsstand formuliert. Es entscheidet den Fall nicht endgültig, sondern legt offen, welche Tatsachen bereits tragfähig sind und welche Tatsachen vor einer belastbaren Erklärung nachgefordert werden müssen.</w:t>
      </w:r>
    </w:p>
    <w:p>
      <w:pPr>
        <w:pStyle w:val="Heading2"/>
      </w:pPr>
      <w:r>
        <w:rPr>
          <w:rFonts w:ascii="Times New Roman" w:hAnsi="Times New Roman"/>
        </w:rPr>
        <w:t>Kurzthese</w:t>
      </w:r>
    </w:p>
    <w:p>
      <w:pPr>
        <w:jc w:val="left"/>
      </w:pPr>
      <w:r>
        <w:t>Der Vorgang ist nicht mit einem einzigen Standardschreiben zu lösen. In einem Vormittag treffen Anteilsübertragung, Grundstückskauf, Erbscheinfrage, Handelsregisteranmeldung und Grundschuldbriefproblem aufeinander. Daraus folgt: Zuerst muss der Sachverhalt beweisfest geordnet werden; erst danach kann ein Schreiben nach außen verantwortet werden. Wer sofort wertet, riskiert, eine unpräzise oder später widerlegte Tatsachenbehauptung aktenkundig zu machen.</w:t>
      </w:r>
    </w:p>
    <w:p>
      <w:pPr>
        <w:pStyle w:val="Heading2"/>
      </w:pPr>
      <w:r>
        <w:rPr>
          <w:rFonts w:ascii="Times New Roman" w:hAnsi="Times New Roman"/>
        </w:rPr>
        <w:t>Rechtliche Prüfung</w:t>
      </w:r>
    </w:p>
    <w:p>
      <w:pPr>
        <w:pStyle w:val="Heading3"/>
      </w:pPr>
      <w:r>
        <w:rPr>
          <w:rFonts w:ascii="Times New Roman" w:hAnsi="Times New Roman"/>
        </w:rPr>
        <w:t>1. Anwendbarer Prüfungsmaßstab</w:t>
      </w:r>
    </w:p>
    <w:p>
      <w:pPr>
        <w:jc w:val="left"/>
      </w:pPr>
      <w:r>
        <w:t>Ausgangspunkt ist der einschlägige Normenrahmen: BeurkG, BNotO, GNotKG, GBO, FamFG, GmbHG §§ 15, 40, BGB Sachen- und Erbrecht. Die Prüfung beginnt nicht bei der gewünschten wirtschaftlichen Lösung, sondern bei der Frage, welche Tatbestandsmerkmale überhaupt erfüllt sein können. Dafür genügt es nicht, dass eine Person intern von „klarer Sache“ spricht. Die Akte muss zeigen, welche Erklärung, Handlung, Zahlung, Unterlassung oder organisatorische Entscheidung wann, durch wen und gegenüber wem erfolgt ist.</w:t>
      </w:r>
    </w:p>
    <w:p>
      <w:pPr>
        <w:pStyle w:val="Heading3"/>
      </w:pPr>
      <w:r>
        <w:rPr>
          <w:rFonts w:ascii="Times New Roman" w:hAnsi="Times New Roman"/>
        </w:rPr>
        <w:t>2. Tatbestandliche Zuordnung</w:t>
      </w:r>
    </w:p>
    <w:p>
      <w:pPr>
        <w:jc w:val="left"/>
      </w:pPr>
      <w:r>
        <w:t>Nach bisherigem Aktenstand spricht viel dafür, dass mehrere Rechtsverhältnisse nebeneinander bestehen. Ein Teil des Sachverhalts betrifft Primärpflichten, ein anderer Teil Nebenpflichten, Dokumentationspflichten oder öffentlich-rechtliche Reaktionspflichten. Diese Trennung ist praktisch entscheidend: Ein Fehler in der Kommunikation kann heilbar sein; ein Fristversäumnis oder eine falsche Tatsachendarstellung kann dagegen die spätere Position erheblich schwächen.</w:t>
      </w:r>
    </w:p>
    <w:p>
      <w:pPr>
        <w:pStyle w:val="Heading3"/>
      </w:pPr>
      <w:r>
        <w:rPr>
          <w:rFonts w:ascii="Times New Roman" w:hAnsi="Times New Roman"/>
        </w:rPr>
        <w:t>3. Beweis- und Darlegungslage</w:t>
      </w:r>
    </w:p>
    <w:p>
      <w:pPr>
        <w:jc w:val="left"/>
      </w:pPr>
      <w:r>
        <w:t>Die stärksten Beweismittel sind Originaldokumente mit Datum, Absender, Empfänger und erkennbarem Inhalt. Schwächer sind spätere Zusammenfassungen, Screenshots ohne Kontext, Erinnerungsvermerke ohne Uhrzeit und Tabellen, deren Datenquelle unklar bleibt. Deshalb sollte die Akte jedes Dokument mit einer kleinen Beweisnotiz versehen: Was belegt es? Was belegt es gerade nicht? Wer kann es erläutern?</w:t>
      </w:r>
    </w:p>
    <w:p>
      <w:pPr>
        <w:pStyle w:val="Heading3"/>
      </w:pPr>
      <w:r>
        <w:rPr>
          <w:rFonts w:ascii="Times New Roman" w:hAnsi="Times New Roman"/>
        </w:rPr>
        <w:t>4. Risikoabwägung</w:t>
      </w:r>
    </w:p>
    <w:p>
      <w:pPr>
        <w:jc w:val="left"/>
      </w:pPr>
      <w:r>
        <w:t>Die Mandantenseite kann nicht einfach alles offenlegen, nur weil der Vorgang unübersichtlich ist. Zugleich wäre Schweigen riskant, wenn Fristen laufen oder eine Behörde beziehungsweise Gegenseite bereits konkrete Vorwürfe erhebt. Zweckmäßig ist eine gestufte Antwort: Eingang bestätigen, Sachverhaltsprüfung ankündigen, unstreitige Punkte knapp benennen, rechtliche Wertung ausdrücklich vorbehalten und fehlende Unterlagen nachfordern.</w:t>
      </w:r>
    </w:p>
    <w:p>
      <w:pPr>
        <w:pStyle w:val="Heading3"/>
      </w:pPr>
      <w:r>
        <w:rPr>
          <w:rFonts w:ascii="Times New Roman" w:hAnsi="Times New Roman"/>
        </w:rPr>
        <w:t>5. Nächste Handlung</w:t>
      </w:r>
    </w:p>
    <w:p>
      <w:pPr>
        <w:jc w:val="left"/>
      </w:pPr>
      <w:r>
        <w:t>Empfohlen wird ein zweigleisiges Vorgehen. Intern wird eine Beweistabelle geführt. Extern wird ein kurzes, sachliches Schreiben versandt, das keine unnötigen Zugeständnisse enthält. Parallel sollte eine Person verbindlich benannt werden, die die weitere Kommunikation bündelt.</w:t>
      </w:r>
    </w:p>
    <w:p>
      <w:pPr>
        <w:pStyle w:val="Heading2"/>
      </w:pPr>
      <w:r>
        <w:rPr>
          <w:rFonts w:ascii="Times New Roman" w:hAnsi="Times New Roman"/>
        </w:rPr>
        <w:t>Entwurf einer belastbaren Arbeitsanweisung</w:t>
      </w:r>
    </w:p>
    <w:p>
      <w:pPr>
        <w:pStyle w:val="ListNumber"/>
      </w:pPr>
      <w:r>
        <w:t>Originalunterlagen anfordern: Verträge, Nachträge, Rechnungen, Bescheide, Screenshots im Ursprungskontext, Kalenderdaten.</w:t>
      </w:r>
    </w:p>
    <w:p>
      <w:pPr>
        <w:pStyle w:val="ListNumber"/>
      </w:pPr>
      <w:r>
        <w:t>Chronologie mit Uhrzeiten und Verantwortlichen erstellen.</w:t>
      </w:r>
    </w:p>
    <w:p>
      <w:pPr>
        <w:pStyle w:val="ListNumber"/>
      </w:pPr>
      <w:r>
        <w:t>Normencheck anhand der oben genannten Vorschriften durchführen.</w:t>
      </w:r>
    </w:p>
    <w:p>
      <w:pPr>
        <w:pStyle w:val="ListNumber"/>
      </w:pPr>
      <w:r>
        <w:t>Vorläufige Außenkommunikation nur über eine freigegebene Fassung.</w:t>
      </w:r>
    </w:p>
    <w:p>
      <w:pPr>
        <w:pStyle w:val="ListNumber"/>
      </w:pPr>
      <w:r>
        <w:t>Nach 48 Stunden erneute Bewertung mit aktualisiertem Beweisstand.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