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Waldwinkel: Notariatstag mit GmbH, Immobilie und Erbfall</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In einem Vormittag treffen Anteilsübertragung, Grundstückskauf, Erbscheinfrage, Handelsregisteranmeldung und Grundschuldbriefproblem aufeinander.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BeurkG, BNotO, GNotKG, GBO, FamFG, GmbHG §§ 15, 40, BGB Sachen- und Erbrecht.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