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pStyle w:val="Heading2"/>
      </w:pPr>
      <w:r>
        <w:rPr>
          <w:rFonts w:ascii="Times New Roman" w:hAnsi="Times New Roman"/>
        </w:rPr>
        <w:t>Beteiligte</w:t>
      </w:r>
    </w:p>
    <w:p>
      <w:pPr>
        <w:jc w:val="left"/>
      </w:pPr>
      <w:r>
        <w:t>Stadt Havelstadt, Projektgesellschaft CampusPlus, Baukonsortium, Kommunalaufsicht, Elterninitiative und Landesrechnungshof.</w:t>
      </w:r>
    </w:p>
    <w:p>
      <w:pPr>
        <w:pStyle w:val="Heading2"/>
      </w:pPr>
      <w:r>
        <w:rPr>
          <w:rFonts w:ascii="Times New Roman" w:hAnsi="Times New Roman"/>
        </w:rPr>
        <w:t>Ausgeschriebener Aktenstand</w:t>
      </w:r>
    </w:p>
    <w:p>
      <w:pPr>
        <w:jc w:val="left"/>
      </w:pPr>
      <w:r>
        <w:t>Ein Schulcampus soll als ÖPP finanziert werden; Wirtschaftlichkeit, Vergabe, Haushaltsrecht, Risikoallokation und demokratische Kontrolle stehen unter Druck.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Vergaberecht, Haushaltsrecht, Kommunalrecht, Beihilfe-/Wirtschaftlichkeitsprüfung, ÖPP-Vertragssteuerung.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