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BLE-Vor-Ort-Kontrolle und Rückforderungsbescheid der LWK-NRW</w:t>
      </w:r>
    </w:p>
    <w:p>
      <w:pPr>
        <w:jc w:val="left"/>
      </w:pPr>
      <w:r>
        <w:rPr>
          <w:b/>
        </w:rPr>
        <w:t>Akte:</w:t>
      </w:r>
      <w:r>
        <w:t xml:space="preserve"> VG Düsseldorf 19 K 4441/26</w:t>
      </w:r>
    </w:p>
    <w:p>
      <w:pPr>
        <w:jc w:val="left"/>
      </w:pPr>
      <w:r>
        <w:rPr>
          <w:b/>
        </w:rPr>
        <w:t>Dokument-Nr.:</w:t>
      </w:r>
      <w:r>
        <w:t xml:space="preserve"> 03</w:t>
      </w:r>
    </w:p>
    <w:p>
      <w:pPr>
        <w:jc w:val="left"/>
      </w:pPr>
      <w:r>
        <w:rPr>
          <w:b/>
        </w:rPr>
        <w:t>Erstellt:</w:t>
      </w:r>
      <w:r>
        <w:t xml:space="preserve"> März 2026</w:t>
      </w:r>
    </w:p>
    <w:p/>
    <w:p>
      <w:pPr>
        <w:pStyle w:val="Heading2"/>
      </w:pPr>
      <w:r>
        <w:rPr>
          <w:rFonts w:ascii="Times New Roman" w:hAnsi="Times New Roman"/>
        </w:rPr>
        <w:t>1. BLE-Vor-Ort-Kontrolle (VOK) vom 11. November 2025</w:t>
      </w:r>
    </w:p>
    <w:p>
      <w:pPr>
        <w:pStyle w:val="Heading3"/>
      </w:pPr>
      <w:r>
        <w:rPr>
          <w:rFonts w:ascii="Times New Roman" w:hAnsi="Times New Roman"/>
        </w:rPr>
        <w:t>Rechtsgrundlage</w:t>
      </w:r>
    </w:p>
    <w:p>
      <w:pPr>
        <w:jc w:val="left"/>
      </w:pPr>
      <w:r>
        <w:t>Vor-Ort-Kontrollen bei landwirtschaftlichen Beihilfe-Empfängern werden gemäß Art. 24 ff. der Delegierten Verordnung (EU) Nr. 640/2014 und Art. 68 ff. der Durchführungsverordnung (EU) Nr. 809/2014 durchgeführt. In Deutschland ist die Bundesanstalt für Landwirtschaft und Ernährung (BLE) für die Kontrolle der Einhaltung der Cross-Compliance-Anforderungen zuständig, soweit Betriebe aus der BMEL-Zuständigkeit betroffen sind; die Flächenkontrollen selbst werden durch die Landwirtschaftskammer NRW im Auftrag des Ministeriums für Landwirtschaft und Verbraucherschutz NRW (MLV NRW) vorgenommen.</w:t>
      </w:r>
    </w:p>
    <w:p>
      <w:pPr>
        <w:pStyle w:val="Heading3"/>
      </w:pPr>
      <w:r>
        <w:rPr>
          <w:rFonts w:ascii="Times New Roman" w:hAnsi="Times New Roman"/>
        </w:rPr>
        <w:t>Ablauf der Kontrolle</w:t>
      </w:r>
    </w:p>
    <w:p>
      <w:pPr>
        <w:jc w:val="left"/>
      </w:pPr>
      <w:r>
        <w:t xml:space="preserve">Am </w:t>
      </w:r>
      <w:r>
        <w:rPr>
          <w:b/>
        </w:rPr>
        <w:t>11. November 2025</w:t>
      </w:r>
      <w:r>
        <w:t xml:space="preserve"> führten zwei Kontrolleure der BLE (Kontrollteam KT-NRW-44, Prüfer: Dipl.-Ing. agr. Renate Holtmann und Jörg Büttner) eine unangemeldete Vor-Ort-Kontrolle auf den Betriebsflächen der Hofgemeinschaft Driessen durch. Die Kontrolle umfasste:</w:t>
      </w:r>
    </w:p>
    <w:p>
      <w:pPr>
        <w:pStyle w:val="ListNumber"/>
      </w:pPr>
      <w:r>
        <w:rPr>
          <w:b/>
        </w:rPr>
        <w:t>Flächenidentifizierung und -abmessung</w:t>
      </w:r>
      <w:r>
        <w:t xml:space="preserve"> mittels GPS-Handgeräten (Trimble R1) und Abgleich mit dem ALKIS-Feldblock-Kataster sowie dem Geographischen Informationssystem (GIS) des LPIS-NRW (Land Parcel Identification System);</w:t>
      </w:r>
    </w:p>
    <w:p>
      <w:pPr>
        <w:pStyle w:val="ListNumber"/>
      </w:pPr>
      <w:r>
        <w:rPr>
          <w:b/>
        </w:rPr>
        <w:t>Prüfung der Greening-Anforderungen</w:t>
      </w:r>
      <w:r>
        <w:t>, insbesondere der ökologischen Vorrangflächen (ÖVF) gemäß § 22 InVeKoSV i.V.m. Art. 46 VO (EU) 1307/2013 (bis 2022) bzw. § 27 GAPDZV (ab 2023);</w:t>
      </w:r>
    </w:p>
    <w:p>
      <w:pPr>
        <w:pStyle w:val="ListNumber"/>
      </w:pPr>
      <w:r>
        <w:rPr>
          <w:b/>
        </w:rPr>
        <w:t>Kontrolle der Aufzeichnungen</w:t>
      </w:r>
      <w:r>
        <w:t xml:space="preserve"> zum betrieblichen Nährstoffvergleich / Stickstoff-Saldo gemäß §§ 3, 4 Düngeverordnung (DüV) i.d.F. vom 28. April 2017 (BGBl. I S. 1002);</w:t>
      </w:r>
    </w:p>
    <w:p>
      <w:pPr>
        <w:pStyle w:val="ListNumber"/>
      </w:pPr>
      <w:r>
        <w:rPr>
          <w:b/>
        </w:rPr>
        <w:t>Überprüfung der Schlagkarteiführung</w:t>
      </w:r>
      <w:r>
        <w:t xml:space="preserve"> (§ 3 Abs. 4 InVeKoSV, § 11 Bio-Kontrollverordnung).</w:t>
      </w:r>
    </w:p>
    <w:p>
      <w:pPr>
        <w:pStyle w:val="Heading3"/>
      </w:pPr>
      <w:r>
        <w:rPr>
          <w:rFonts w:ascii="Times New Roman" w:hAnsi="Times New Roman"/>
        </w:rPr>
        <w:t>Kontrollergebnisse laut Bericht VOK-NRW-2025-1198</w:t>
      </w:r>
    </w:p>
    <w:p>
      <w:pPr>
        <w:pStyle w:val="Heading3"/>
      </w:pPr>
      <w:r>
        <w:rPr>
          <w:rFonts w:ascii="Times New Roman" w:hAnsi="Times New Roman"/>
        </w:rPr>
        <w:t>Befund 1: Flächendifferenz Brachfläche Schlag 44b</w:t>
      </w:r>
    </w:p>
    <w:p>
      <w:pPr>
        <w:jc w:val="left"/>
      </w:pPr>
      <w:r>
        <w:t xml:space="preserve">Bei der GPS-Messung der als Brache gemeldeten Fläche </w:t>
      </w:r>
      <w:r>
        <w:rPr>
          <w:b/>
        </w:rPr>
        <w:t>Schlag 44b</w:t>
      </w:r>
      <w:r>
        <w:t xml:space="preserve"> (Gemarkung Labbeck, Flur 3, Flurstück 214) ergab die Kontrollmessung eine tatsächliche Brache von </w:t>
      </w:r>
      <w:r>
        <w:rPr>
          <w:b/>
        </w:rPr>
        <w:t>5,1 ha</w:t>
      </w:r>
      <w:r>
        <w:t xml:space="preserve"> statt der gemeldeten </w:t>
      </w:r>
      <w:r>
        <w:rPr>
          <w:b/>
        </w:rPr>
        <w:t>7,4 ha</w:t>
      </w:r>
      <w:r>
        <w:t>. Differenz: 2,3 ha (= 31 % der gemeldeten Fläche). Die Kontrolleure stellten fest, dass ein Teil der gemeldeten Brache tatsächlich mit einer Winter-Zwischenfrucht-Mischung (Senf-Phacelia) bestanden war und daher nicht als ÖVF-Bracefläche im Sinne von § 27 Abs. 1 Nr. 1 GAPDZV gewertet werden könne, weil Zwischenfrucht-ÖVF gesondert zu beantragen sei (§ 27 Abs. 1 Nr. 3 GAPDZV).</w:t>
      </w:r>
    </w:p>
    <w:p>
      <w:pPr>
        <w:jc w:val="left"/>
      </w:pPr>
      <w:r>
        <w:t>Hartmut Driessen erklärte gegenüber den Prüfern, die Zwischenfrucht sei auf einem Randstreifen angelegt worden, der nicht zur Schlagfläche 44b gehöre. Die Prüfer sahen diese Darstellung als nicht belegt an, weil die Schlagkartei Schlag 44b keine entsprechende Abgrenzung enthielt.</w:t>
      </w:r>
    </w:p>
    <w:p>
      <w:pPr>
        <w:jc w:val="left"/>
      </w:pPr>
      <w:r>
        <w:rPr>
          <w:b/>
        </w:rPr>
        <w:t>Rechtliche Einordnung:</w:t>
      </w:r>
      <w:r>
        <w:t xml:space="preserve"> Bei einer festgestellten Flächendifferenz von mehr als 20 % der gemeldeten ÖVF-Fläche sieht Art. 28 Del. VO (EU) 640/2014 den vollständigen Wegfall der flächenbezogenen Greening-Prämie für das betreffende Antragsjahr vor.</w:t>
      </w:r>
    </w:p>
    <w:p>
      <w:pPr>
        <w:pStyle w:val="Heading3"/>
      </w:pPr>
      <w:r>
        <w:rPr>
          <w:rFonts w:ascii="Times New Roman" w:hAnsi="Times New Roman"/>
        </w:rPr>
        <w:t>Befund 2: Aufzeichnungsmängel Stickstoff-Saldo</w:t>
      </w:r>
    </w:p>
    <w:p>
      <w:pPr>
        <w:jc w:val="left"/>
      </w:pPr>
      <w:r>
        <w:t>Die Prüfung der betrieblichen Düngeaufzeichnungen (Schlagkartei, Nährstoffvergleich) ergab:</w:t>
      </w:r>
    </w:p>
    <w:p>
      <w:pPr>
        <w:pStyle w:val="ListBullet"/>
      </w:pPr>
      <w:r>
        <w:t>Für das Wirtschaftsjahr 2022/2023 fehlte der jährliche betriebliche Stickstoff-Saldo nach § 7 DüV (Übersicht über die Gesamtstickstoff-Zufuhr und -Abfuhr);</w:t>
      </w:r>
    </w:p>
    <w:p>
      <w:pPr>
        <w:pStyle w:val="ListBullet"/>
      </w:pPr>
      <w:r>
        <w:t>Die Schlagkartei für die Zwiebelflächen (Schläge 21a, 21b, 22) wies für den Zeitraum April–Juli 2023 keine Einträge zu Düngezeitpunkt, Düngermenge und Nährstoffgehalt der verwendeten Biogasgärreste (Bezug Biogasanlage Kevelaer GmbH) auf;</w:t>
      </w:r>
    </w:p>
    <w:p>
      <w:pPr>
        <w:pStyle w:val="ListBullet"/>
      </w:pPr>
      <w:r>
        <w:t>Almut Driessen wies darauf hin, die entsprechenden Aufzeichnungen seien vorhanden, aber zum Kontrollzeitpunkt nicht auffindbar gewesen; sie befänden sich in einem anderen Ordner. Die Prüfer akzeptierten dies nicht als Entschuldigung und verwiesen auf die Aufbewahrungspflicht nach § 12 Abs. 1 DüV (7 Jahre).</w:t>
      </w:r>
    </w:p>
    <w:p>
      <w:pPr>
        <w:jc w:val="left"/>
      </w:pPr>
      <w:r>
        <w:rPr>
          <w:b/>
        </w:rPr>
        <w:t>Rechtliche Einordnung:</w:t>
      </w:r>
      <w:r>
        <w:t xml:space="preserve"> Aufzeichnungsmängel nach DüV stellen einen Verstoß gegen anderweitige Verpflichtungen (Cross Compliance, Regelungsbereich SMR 1 nach Anhang II VO (EU) 1306/2013) dar und können zu Kürzungen der Direktzahlungen von bis zu 5 % führen (Art. 91 ff. VO (EU) 1306/2013).</w:t>
      </w:r>
    </w:p>
    <w:p>
      <w:pPr>
        <w:pStyle w:val="Heading3"/>
      </w:pPr>
      <w:r>
        <w:rPr>
          <w:rFonts w:ascii="Times New Roman" w:hAnsi="Times New Roman"/>
        </w:rPr>
        <w:t>Befund 3: Verdacht auf Falschangaben im IACS-Antrag</w:t>
      </w:r>
    </w:p>
    <w:p>
      <w:pPr>
        <w:jc w:val="left"/>
      </w:pPr>
      <w:r>
        <w:t xml:space="preserve">Die Prüfer bemerkten, dass in beiden Antragsformularen für das Antragsjahr 2022 und 2023 (Mehrfach-Antrag Online, MAO-NRW) der Schlag 44b mit 7,4 ha eingetragen war, obwohl er nach ALKIS-Kataster nur </w:t>
      </w:r>
      <w:r>
        <w:rPr>
          <w:b/>
        </w:rPr>
        <w:t>6,9 ha</w:t>
      </w:r>
      <w:r>
        <w:t xml:space="preserve"> ausweist. Dies lege nahe, dass entweder die Flächengröße überhöht eingetragen oder ein Irrtum beim Feldblock-Code vorlag. Die Prüfer leiteten den Befund an den Fachbereich „Beihilfemissbrauch" der LWK-NRW weiter.</w:t>
      </w:r>
    </w:p>
    <w:p/>
    <w:p>
      <w:pPr>
        <w:pStyle w:val="Heading2"/>
      </w:pPr>
      <w:r>
        <w:rPr>
          <w:rFonts w:ascii="Times New Roman" w:hAnsi="Times New Roman"/>
        </w:rPr>
        <w:t>2. Rückforderungsbescheid der LWK-NRW vom 19. Dezember 2025</w:t>
      </w:r>
    </w:p>
    <w:p>
      <w:pPr>
        <w:pStyle w:val="Heading3"/>
      </w:pPr>
      <w:r>
        <w:rPr>
          <w:rFonts w:ascii="Times New Roman" w:hAnsi="Times New Roman"/>
        </w:rPr>
        <w:t>Verfügungstenor</w:t>
      </w:r>
    </w:p>
    <w:p>
      <w:pPr>
        <w:jc w:val="left"/>
      </w:pPr>
      <w:r>
        <w:rPr>
          <w:b/>
        </w:rPr>
        <w:t>„Bescheid über Rückforderung von EU-Direktzahlungen und Agrarumweltprämien"</w:t>
      </w:r>
    </w:p>
    <w:p>
      <w:pPr>
        <w:jc w:val="left"/>
      </w:pPr>
      <w:r>
        <w:t>Gz. LWK-NRW-4211-FRR-2025-0047</w:t>
      </w:r>
    </w:p>
    <w:p>
      <w:pPr>
        <w:jc w:val="left"/>
      </w:pPr>
      <w:r>
        <w:rPr>
          <w:i/>
        </w:rPr>
        <w:t>„Die Hofgemeinschaft Driessen GbR, Labbecker Weg 14, 47665 Sonsbeck-Labbeck, wird verpflichtet, die für die Antragsjahre 2022 und 2023 gewährten Direktzahlungen (Basisprämie, Greening-Prämie, Junglandwirteprämie) sowie Agrarumweltprämien (Ökologischer Landbau, NRW-Programm Ländlicher Raum) in Höhe von insgesamt 142.350,00 EUR (in Worten: einhundertzweiundvierzigtausenddreihundertfünfzig Euro) nebst Zinsen gemäß § 49a Abs. 3 VwVfG NRW i.H.v. 5 Prozentpunkten über dem Basiszinssatz ab dem Tag der Auszahlung zurückzuzahlen."</w:t>
      </w:r>
    </w:p>
    <w:p>
      <w:pPr>
        <w:pStyle w:val="Heading3"/>
      </w:pPr>
      <w:r>
        <w:rPr>
          <w:rFonts w:ascii="Times New Roman" w:hAnsi="Times New Roman"/>
        </w:rPr>
        <w:t>Aufschlüsselung der Rückforderung</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Förderkomponente</w:t>
            </w:r>
          </w:p>
        </w:tc>
        <w:tc>
          <w:tcPr>
            <w:tcW w:type="dxa" w:w="2268"/>
          </w:tcPr>
          <w:p>
            <w:r>
              <w:rPr>
                <w:rFonts w:ascii="Times New Roman" w:hAnsi="Times New Roman"/>
                <w:b/>
                <w:sz w:val="20"/>
              </w:rPr>
              <w:t>Antragsjahr 2022</w:t>
            </w:r>
          </w:p>
        </w:tc>
        <w:tc>
          <w:tcPr>
            <w:tcW w:type="dxa" w:w="2268"/>
          </w:tcPr>
          <w:p>
            <w:r>
              <w:rPr>
                <w:rFonts w:ascii="Times New Roman" w:hAnsi="Times New Roman"/>
                <w:b/>
                <w:sz w:val="20"/>
              </w:rPr>
              <w:t>Antragsjahr 2023</w:t>
            </w:r>
          </w:p>
        </w:tc>
        <w:tc>
          <w:tcPr>
            <w:tcW w:type="dxa" w:w="2268"/>
          </w:tcPr>
          <w:p>
            <w:r>
              <w:rPr>
                <w:rFonts w:ascii="Times New Roman" w:hAnsi="Times New Roman"/>
                <w:b/>
                <w:sz w:val="20"/>
              </w:rPr>
              <w:t>Gesamt</w:t>
            </w:r>
          </w:p>
        </w:tc>
      </w:tr>
      <w:tr>
        <w:tc>
          <w:tcPr>
            <w:tcW w:type="dxa" w:w="2268"/>
          </w:tcPr>
          <w:p>
            <w:r>
              <w:rPr>
                <w:rFonts w:ascii="Times New Roman" w:hAnsi="Times New Roman"/>
                <w:sz w:val="20"/>
              </w:rPr>
              <w:t>Basisprämie (Kap. III VO (EU) 1307/2013)</w:t>
            </w:r>
          </w:p>
        </w:tc>
        <w:tc>
          <w:tcPr>
            <w:tcW w:type="dxa" w:w="2268"/>
          </w:tcPr>
          <w:p>
            <w:r>
              <w:rPr>
                <w:rFonts w:ascii="Times New Roman" w:hAnsi="Times New Roman"/>
                <w:sz w:val="20"/>
              </w:rPr>
              <w:t>23.840 EUR</w:t>
            </w:r>
          </w:p>
        </w:tc>
        <w:tc>
          <w:tcPr>
            <w:tcW w:type="dxa" w:w="2268"/>
          </w:tcPr>
          <w:p>
            <w:r>
              <w:rPr>
                <w:rFonts w:ascii="Times New Roman" w:hAnsi="Times New Roman"/>
                <w:sz w:val="20"/>
              </w:rPr>
              <w:t>24.100 EUR</w:t>
            </w:r>
          </w:p>
        </w:tc>
        <w:tc>
          <w:tcPr>
            <w:tcW w:type="dxa" w:w="2268"/>
          </w:tcPr>
          <w:p>
            <w:r>
              <w:rPr>
                <w:rFonts w:ascii="Times New Roman" w:hAnsi="Times New Roman"/>
                <w:sz w:val="20"/>
              </w:rPr>
              <w:t>47.940 EUR</w:t>
            </w:r>
          </w:p>
        </w:tc>
      </w:tr>
      <w:tr>
        <w:tc>
          <w:tcPr>
            <w:tcW w:type="dxa" w:w="2268"/>
          </w:tcPr>
          <w:p>
            <w:r>
              <w:rPr>
                <w:rFonts w:ascii="Times New Roman" w:hAnsi="Times New Roman"/>
                <w:sz w:val="20"/>
              </w:rPr>
              <w:t>Greening-Prämie (§ 22 InVeKoSV)</w:t>
            </w:r>
          </w:p>
        </w:tc>
        <w:tc>
          <w:tcPr>
            <w:tcW w:type="dxa" w:w="2268"/>
          </w:tcPr>
          <w:p>
            <w:r>
              <w:rPr>
                <w:rFonts w:ascii="Times New Roman" w:hAnsi="Times New Roman"/>
                <w:sz w:val="20"/>
              </w:rPr>
              <w:t>18.650 EUR</w:t>
            </w:r>
          </w:p>
        </w:tc>
        <w:tc>
          <w:tcPr>
            <w:tcW w:type="dxa" w:w="2268"/>
          </w:tcPr>
          <w:p>
            <w:r>
              <w:rPr>
                <w:rFonts w:ascii="Times New Roman" w:hAnsi="Times New Roman"/>
                <w:sz w:val="20"/>
              </w:rPr>
              <w:t>18.900 EUR</w:t>
            </w:r>
          </w:p>
        </w:tc>
        <w:tc>
          <w:tcPr>
            <w:tcW w:type="dxa" w:w="2268"/>
          </w:tcPr>
          <w:p>
            <w:r>
              <w:rPr>
                <w:rFonts w:ascii="Times New Roman" w:hAnsi="Times New Roman"/>
                <w:sz w:val="20"/>
              </w:rPr>
              <w:t>37.550 EUR</w:t>
            </w:r>
          </w:p>
        </w:tc>
      </w:tr>
      <w:tr>
        <w:tc>
          <w:tcPr>
            <w:tcW w:type="dxa" w:w="2268"/>
          </w:tcPr>
          <w:p>
            <w:r>
              <w:rPr>
                <w:rFonts w:ascii="Times New Roman" w:hAnsi="Times New Roman"/>
                <w:sz w:val="20"/>
              </w:rPr>
              <w:t>Agrarumwelt: Ökologischer Landbau (ELER)</w:t>
            </w:r>
          </w:p>
        </w:tc>
        <w:tc>
          <w:tcPr>
            <w:tcW w:type="dxa" w:w="2268"/>
          </w:tcPr>
          <w:p>
            <w:r>
              <w:rPr>
                <w:rFonts w:ascii="Times New Roman" w:hAnsi="Times New Roman"/>
                <w:sz w:val="20"/>
              </w:rPr>
              <w:t>16.200 EUR</w:t>
            </w:r>
          </w:p>
        </w:tc>
        <w:tc>
          <w:tcPr>
            <w:tcW w:type="dxa" w:w="2268"/>
          </w:tcPr>
          <w:p>
            <w:r>
              <w:rPr>
                <w:rFonts w:ascii="Times New Roman" w:hAnsi="Times New Roman"/>
                <w:sz w:val="20"/>
              </w:rPr>
              <w:t>16.200 EUR</w:t>
            </w:r>
          </w:p>
        </w:tc>
        <w:tc>
          <w:tcPr>
            <w:tcW w:type="dxa" w:w="2268"/>
          </w:tcPr>
          <w:p>
            <w:r>
              <w:rPr>
                <w:rFonts w:ascii="Times New Roman" w:hAnsi="Times New Roman"/>
                <w:sz w:val="20"/>
              </w:rPr>
              <w:t>32.400 EUR</w:t>
            </w:r>
          </w:p>
        </w:tc>
      </w:tr>
      <w:tr>
        <w:tc>
          <w:tcPr>
            <w:tcW w:type="dxa" w:w="2268"/>
          </w:tcPr>
          <w:p>
            <w:r>
              <w:rPr>
                <w:rFonts w:ascii="Times New Roman" w:hAnsi="Times New Roman"/>
                <w:sz w:val="20"/>
              </w:rPr>
              <w:t>Agrarumwelt: Naturschutz Schwalmaue</w:t>
            </w:r>
          </w:p>
        </w:tc>
        <w:tc>
          <w:tcPr>
            <w:tcW w:type="dxa" w:w="2268"/>
          </w:tcPr>
          <w:p>
            <w:r>
              <w:rPr>
                <w:rFonts w:ascii="Times New Roman" w:hAnsi="Times New Roman"/>
                <w:sz w:val="20"/>
              </w:rPr>
              <w:t>12.230 EUR</w:t>
            </w:r>
          </w:p>
        </w:tc>
        <w:tc>
          <w:tcPr>
            <w:tcW w:type="dxa" w:w="2268"/>
          </w:tcPr>
          <w:p>
            <w:r>
              <w:rPr>
                <w:rFonts w:ascii="Times New Roman" w:hAnsi="Times New Roman"/>
                <w:sz w:val="20"/>
              </w:rPr>
              <w:t>12.230 EUR</w:t>
            </w:r>
          </w:p>
        </w:tc>
        <w:tc>
          <w:tcPr>
            <w:tcW w:type="dxa" w:w="2268"/>
          </w:tcPr>
          <w:p>
            <w:r>
              <w:rPr>
                <w:rFonts w:ascii="Times New Roman" w:hAnsi="Times New Roman"/>
                <w:sz w:val="20"/>
              </w:rPr>
              <w:t>24.460 EUR</w:t>
            </w:r>
          </w:p>
        </w:tc>
      </w:tr>
      <w:tr>
        <w:tc>
          <w:tcPr>
            <w:tcW w:type="dxa" w:w="2268"/>
          </w:tcPr>
          <w:p>
            <w:r>
              <w:rPr>
                <w:rFonts w:ascii="Times New Roman" w:hAnsi="Times New Roman"/>
                <w:b/>
                <w:sz w:val="20"/>
              </w:rPr>
              <w:t>Summe Rückforderung</w:t>
            </w:r>
          </w:p>
        </w:tc>
        <w:tc>
          <w:tcPr>
            <w:tcW w:type="dxa" w:w="2268"/>
          </w:tcPr>
          <w:p>
            <w:r>
              <w:rPr>
                <w:rFonts w:ascii="Times New Roman" w:hAnsi="Times New Roman"/>
                <w:b/>
                <w:sz w:val="20"/>
              </w:rPr>
              <w:t>70.920 EUR</w:t>
            </w:r>
          </w:p>
        </w:tc>
        <w:tc>
          <w:tcPr>
            <w:tcW w:type="dxa" w:w="2268"/>
          </w:tcPr>
          <w:p>
            <w:r>
              <w:rPr>
                <w:rFonts w:ascii="Times New Roman" w:hAnsi="Times New Roman"/>
                <w:b/>
                <w:sz w:val="20"/>
              </w:rPr>
              <w:t>71.430 EUR</w:t>
            </w:r>
          </w:p>
        </w:tc>
        <w:tc>
          <w:tcPr>
            <w:tcW w:type="dxa" w:w="2268"/>
          </w:tcPr>
          <w:p>
            <w:r>
              <w:rPr>
                <w:rFonts w:ascii="Times New Roman" w:hAnsi="Times New Roman"/>
                <w:b/>
                <w:sz w:val="20"/>
              </w:rPr>
              <w:t>142.350 EUR</w:t>
            </w:r>
          </w:p>
        </w:tc>
      </w:tr>
    </w:tbl>
    <w:p>
      <w:pPr>
        <w:pStyle w:val="Heading3"/>
      </w:pPr>
      <w:r>
        <w:rPr>
          <w:rFonts w:ascii="Times New Roman" w:hAnsi="Times New Roman"/>
        </w:rPr>
        <w:t>Begründung der Behörde (Zusammenfassung)</w:t>
      </w:r>
    </w:p>
    <w:p>
      <w:pPr>
        <w:jc w:val="left"/>
      </w:pPr>
      <w:r>
        <w:t>Die Behörde stützt die vollständige Rückforderung der Greening-Prämie auf die festgestellte Flächendifferenz von mehr als 20 % bei den ÖVF-Brachflächen (Art. 28 Del. VO (EU) 640/2014). Die Kürzung der Basisprämie (5 %) werde durch die Cross-Compliance-Verstöße (DüV-Aufzeichnungsmängel) ausgelöst. Die vollständige Rückforderung der Agrarumweltprämien beruhe auf Art. 35 VO (EU) 640/2014, da bei vorsätzlicher oder grob fahrlässiger Falschangabe die gesamte Prämie für beide Antragsjahre zurückgefordert werden könne.</w:t>
      </w:r>
    </w:p>
    <w:p/>
    <w:p>
      <w:pPr>
        <w:pStyle w:val="Heading2"/>
      </w:pPr>
      <w:r>
        <w:rPr>
          <w:rFonts w:ascii="Times New Roman" w:hAnsi="Times New Roman"/>
        </w:rPr>
        <w:t>3. Bewertung durch Kanzlei Faulhammer</w:t>
      </w:r>
    </w:p>
    <w:p>
      <w:pPr>
        <w:pStyle w:val="Heading3"/>
      </w:pPr>
      <w:r>
        <w:rPr>
          <w:rFonts w:ascii="Times New Roman" w:hAnsi="Times New Roman"/>
        </w:rPr>
        <w:t>Angreifbare Punkte</w:t>
      </w:r>
    </w:p>
    <w:p>
      <w:pPr>
        <w:pStyle w:val="ListNumber"/>
      </w:pPr>
      <w:r>
        <w:rPr>
          <w:b/>
        </w:rPr>
        <w:t>Befund 1 (Flächendifferenz):</w:t>
      </w:r>
      <w:r>
        <w:t xml:space="preserve"> Die Behauptung, der Zwischenfrucht-Randstreifen gehöre nicht zur Schlagfläche 44b, ist durch GPS-Messung des Mandanten und Vorlage älterer Luftbilder (Google Earth-Ausdruck 2022, TIM-online NRW) belegbar. Zu prüfen: Bestätigung der tatsächlichen Schlaggrenzen durch öffentlich bestellten Vermesser.</w:t>
      </w:r>
    </w:p>
    <w:p>
      <w:pPr>
        <w:pStyle w:val="ListNumber"/>
      </w:pPr>
      <w:r>
        <w:rPr>
          <w:b/>
        </w:rPr>
        <w:t>Befund 2 (Aufzeichnungsmängel):</w:t>
      </w:r>
      <w:r>
        <w:t xml:space="preserve"> Die Mandantin hat die fehlenden Aufzeichnungen inzwischen aufgefunden. Für das VG-Verfahren sollte ein sachverständiges Gutachten eingeholt werden, das bestätigt, dass die Düngeaufzeichnungen inhaltlich den DüV-Anforderungen genügen.</w:t>
      </w:r>
    </w:p>
    <w:p>
      <w:pPr>
        <w:pStyle w:val="ListNumber"/>
      </w:pPr>
      <w:r>
        <w:rPr>
          <w:b/>
        </w:rPr>
        <w:t>Befund 3 (Verdacht Falschangaben):</w:t>
      </w:r>
      <w:r>
        <w:t xml:space="preserve"> Die ALKIS-Katasterfläche 6,9 ha entspricht der Vermessung ohne den Randgraben; nach DIN 18709 zählt die Grabenböschung zur landwirtschaftlichen Nutzfläche. Die gemeldeten 7,4 ha sind daher möglicherweise korrekt. Zu prüfen: Stellungnahme Katasteramt Wesel.</w:t>
      </w:r>
    </w:p>
    <w:p>
      <w:pPr>
        <w:pStyle w:val="ListNumber"/>
      </w:pPr>
      <w:r>
        <w:rPr>
          <w:b/>
        </w:rPr>
        <w:t>Verhältnismäßigkeit:</w:t>
      </w:r>
      <w:r>
        <w:t xml:space="preserve"> Vollständige Rückforderung der Agrarumweltprämien beider Antragsjahre erscheint unverhältnismäßig (BVerwG, Urt. v. 17.10.2012 — 8 C 21/11; VG Düsseldorf, Urt. v. 14.06.2018 — 25 K 9072/16). Das Ermessen der Behörde ist zu rügen.</w:t>
      </w:r>
    </w:p>
    <w:p>
      <w:pPr>
        <w:pStyle w:val="ListNumber"/>
      </w:pPr>
      <w:r>
        <w:rPr>
          <w:b/>
        </w:rPr>
        <w:t>Zinsen:</w:t>
      </w:r>
      <w:r>
        <w:t xml:space="preserve"> Die Rückforderung von Zinsen ab dem Tag der Auszahlung setzt nach § 49a Abs. 3 VwVfG NRW voraus, dass die Zahlung durch arglistige Täuschung, Drohung oder Bestechung erwirkt worden ist oder der Begünstigte die Rechtswidrigkeit des Verwaltungsakts kannte oder kennen musste. Dies ist hier streitig.</w:t>
      </w:r>
    </w:p>
    <w:p>
      <w:pPr>
        <w:pStyle w:val="Heading3"/>
      </w:pPr>
      <w:r>
        <w:rPr>
          <w:rFonts w:ascii="Times New Roman" w:hAnsi="Times New Roman"/>
        </w:rPr>
        <w:t>Prozessuale Strategie</w:t>
      </w:r>
    </w:p>
    <w:p>
      <w:pPr>
        <w:pStyle w:val="ListBullet"/>
      </w:pPr>
      <w:r>
        <w:t>Antrag auf Aussetzung der sofortigen Vollziehbarkeit (§ 80 Abs. 5 VwGO), da der Rückforderungsbescheid für die wirtschaftliche Existenz des Betriebs vernichtend wäre (Liquiditätsgefährdung).</w:t>
      </w:r>
    </w:p>
    <w:p>
      <w:pPr>
        <w:pStyle w:val="ListBullet"/>
      </w:pPr>
      <w:r>
        <w:t>Hauptsacheantrag: Anfechtungsklage gemäß § 42 Abs. 1 VwGO, Antragsklage auf Aufhebung des Bescheids.</w:t>
      </w:r>
    </w:p>
    <w:p>
      <w:pPr>
        <w:pStyle w:val="ListBullet"/>
      </w:pPr>
      <w:r>
        <w:t>Beweisanträge: sachverständige Begutachtung der Schlaggrenzen (Vermessungsgutachter), Vernehmung der Prüfer als Zeugen.</w:t>
      </w:r>
    </w:p>
    <w:p>
      <w:pPr>
        <w:jc w:val="left"/>
      </w:pPr>
      <w:r>
        <w:rPr>
          <w:i/>
        </w:rPr>
        <w:t>Quellenhinweise: VO (EU) Nr. 640/2014, Art. 24 ff. (Vor-Ort-Kontrollen); § 49a VwVfG NRW; BVerwG 8 C 21/11 (dejure.org); VG Düsseldorf 25 K 9072/16 (openjur.de).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