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Greening-Auflagen und Ökologische Vorrangflächen — Rechtslage und Verteidigungsstrategie</w:t>
      </w:r>
    </w:p>
    <w:p>
      <w:pPr>
        <w:jc w:val="left"/>
      </w:pPr>
      <w:r>
        <w:rPr>
          <w:b/>
        </w:rPr>
        <w:t>Akte:</w:t>
      </w:r>
      <w:r>
        <w:t xml:space="preserve"> VG Düsseldorf 19 K 4441/26</w:t>
      </w:r>
    </w:p>
    <w:p>
      <w:pPr>
        <w:jc w:val="left"/>
      </w:pPr>
      <w:r>
        <w:rPr>
          <w:b/>
        </w:rPr>
        <w:t>Dokument-Nr.:</w:t>
      </w:r>
      <w:r>
        <w:t xml:space="preserve"> 04</w:t>
      </w:r>
    </w:p>
    <w:p>
      <w:pPr>
        <w:jc w:val="left"/>
      </w:pPr>
      <w:r>
        <w:rPr>
          <w:b/>
        </w:rPr>
        <w:t>Erstellt:</w:t>
      </w:r>
      <w:r>
        <w:t xml:space="preserve"> März 2026</w:t>
      </w:r>
    </w:p>
    <w:p/>
    <w:p>
      <w:pPr>
        <w:pStyle w:val="Heading2"/>
      </w:pPr>
      <w:r>
        <w:rPr>
          <w:rFonts w:ascii="Times New Roman" w:hAnsi="Times New Roman"/>
        </w:rPr>
        <w:t>1. Rechtlicher Rahmen: Greening bis 2022 und GLÖZ ab 2023</w:t>
      </w:r>
    </w:p>
    <w:p>
      <w:pPr>
        <w:pStyle w:val="Heading3"/>
      </w:pPr>
      <w:r>
        <w:rPr>
          <w:rFonts w:ascii="Times New Roman" w:hAnsi="Times New Roman"/>
        </w:rPr>
        <w:t>1.1 Greening nach VO (EU) 1307/2013 (bis Antragsjahr 2022)</w:t>
      </w:r>
    </w:p>
    <w:p>
      <w:pPr>
        <w:jc w:val="left"/>
      </w:pPr>
      <w:r>
        <w:t xml:space="preserve">Die sog. </w:t>
      </w:r>
      <w:r>
        <w:rPr>
          <w:b/>
        </w:rPr>
        <w:t>Greening-Zahlungen</w:t>
      </w:r>
      <w:r>
        <w:t xml:space="preserve"> waren nach Art. 43 ff. der Verordnung (EU) Nr. 1307/2013 an die Einhaltung bestimmter Auflagen geknüpft, von denen die wichtigste für Ackerbaubetriebe mit mehr als 30 ha Ackerfläche die </w:t>
      </w:r>
      <w:r>
        <w:rPr>
          <w:b/>
        </w:rPr>
        <w:t>Bereitstellung Ökologischer Vorrangflächen (ÖVF)</w:t>
      </w:r>
      <w:r>
        <w:t xml:space="preserve"> von mindestens 5 % der Ackerfläche war (Art. 46 Abs. 1 VO (EU) 1307/2013). Als ÖVF anrechenbare Elemente waren u.a.:</w:t>
      </w:r>
    </w:p>
    <w:p>
      <w:pPr>
        <w:pStyle w:val="ListBullet"/>
      </w:pPr>
      <w:r>
        <w:t>Stilllegungsflächen / Brachflächen (Gewichtungsfaktor 1,0)</w:t>
      </w:r>
    </w:p>
    <w:p>
      <w:pPr>
        <w:pStyle w:val="ListBullet"/>
      </w:pPr>
      <w:r>
        <w:t>Landschaftselemente (Hecken, Baumreihen, Feldgehölze)</w:t>
      </w:r>
    </w:p>
    <w:p>
      <w:pPr>
        <w:pStyle w:val="ListBullet"/>
      </w:pPr>
      <w:r>
        <w:t>Zwischenfrucht-/Untersaaten (Gewichtungsfaktor 0,3)</w:t>
      </w:r>
    </w:p>
    <w:p>
      <w:pPr>
        <w:pStyle w:val="ListBullet"/>
      </w:pPr>
      <w:r>
        <w:t>Hülsenfrüchte / Leguminosen (Gewichtungsfaktor 0,7)</w:t>
      </w:r>
    </w:p>
    <w:p>
      <w:pPr>
        <w:jc w:val="left"/>
      </w:pPr>
      <w:r>
        <w:t xml:space="preserve">Für </w:t>
      </w:r>
      <w:r>
        <w:rPr>
          <w:b/>
        </w:rPr>
        <w:t>Ökobetriebe</w:t>
      </w:r>
      <w:r>
        <w:t xml:space="preserve"> (zertifiziert nach VO (EG) 834/2007) sah Art. 43 Abs. 11 VO (EU) 1307/2013 eine sog. </w:t>
      </w:r>
      <w:r>
        <w:rPr>
          <w:b/>
        </w:rPr>
        <w:t>Öko-Äquivalenz</w:t>
      </w:r>
      <w:r>
        <w:t xml:space="preserve"> vor: Betriebe, die vollständig oder teilweise nach den Öko-Vorschriften bewirtschaftet wurden, galten ipso jure als die Greening-Anforderungen erfüllend, sofern die Öko-Flächen dem Greening-Anteil entsprachen. Die Driesssens hatten von dieser Regelung Gebrauch gemacht.</w:t>
      </w:r>
    </w:p>
    <w:p>
      <w:pPr>
        <w:jc w:val="left"/>
      </w:pPr>
      <w:r>
        <w:rPr>
          <w:b/>
        </w:rPr>
        <w:t>Problem:</w:t>
      </w:r>
      <w:r>
        <w:t xml:space="preserve"> Die Öko-Äquivalenz entbindet nicht von der </w:t>
      </w:r>
      <w:r>
        <w:rPr>
          <w:b/>
        </w:rPr>
        <w:t>korrekten Flächenmeldung</w:t>
      </w:r>
      <w:r>
        <w:t xml:space="preserve"> im IACS (Integrated Administration and Control System). Selbst wenn ein Ökobetrieb automatisch als Greening-konform gilt, können Flächendifferenzen zwischen gemeldeten und tatsächlichen Flächen zur Rückforderung der Basisprämie führen.</w:t>
      </w:r>
    </w:p>
    <w:p>
      <w:pPr>
        <w:pStyle w:val="Heading3"/>
      </w:pPr>
      <w:r>
        <w:rPr>
          <w:rFonts w:ascii="Times New Roman" w:hAnsi="Times New Roman"/>
        </w:rPr>
        <w:t>1.2 GLÖZ-Standards ab Antragsjahr 2023 (GAP-Reform)</w:t>
      </w:r>
    </w:p>
    <w:p>
      <w:pPr>
        <w:jc w:val="left"/>
      </w:pPr>
      <w:r>
        <w:t xml:space="preserve">Mit der neuen GAP (Gemeinsame Agrarpolitik 2023–2027) wurden die Greening-Anforderungen durch die </w:t>
      </w:r>
      <w:r>
        <w:rPr>
          <w:b/>
        </w:rPr>
        <w:t>GLÖZ-Standards</w:t>
      </w:r>
      <w:r>
        <w:t xml:space="preserve"> (Guter landwirtschaftlicher und ökologischer Zustand, GLÖZ 1–9) ersetzt. Für das Antragsjahr 2023 war insbesondere </w:t>
      </w:r>
      <w:r>
        <w:rPr>
          <w:b/>
        </w:rPr>
        <w:t>GLÖZ 8</w:t>
      </w:r>
      <w:r>
        <w:t xml:space="preserve"> relevant (Mindestanteil nichtproduktiver Flächen auf Ackerflächen, § 27 GAPDZV — Direktzahlungs-Verordnung).</w:t>
      </w:r>
    </w:p>
    <w:p/>
    <w:p>
      <w:pPr>
        <w:pStyle w:val="Heading2"/>
      </w:pPr>
      <w:r>
        <w:rPr>
          <w:rFonts w:ascii="Times New Roman" w:hAnsi="Times New Roman"/>
        </w:rPr>
        <w:t>2. Analyse der Schlag-44b-Problematik</w:t>
      </w:r>
    </w:p>
    <w:p>
      <w:pPr>
        <w:pStyle w:val="Heading3"/>
      </w:pPr>
      <w:r>
        <w:rPr>
          <w:rFonts w:ascii="Times New Roman" w:hAnsi="Times New Roman"/>
        </w:rPr>
        <w:t>2.1 Sachverhalt im Detail</w:t>
      </w:r>
    </w:p>
    <w:p>
      <w:pPr>
        <w:jc w:val="left"/>
      </w:pPr>
      <w:r>
        <w:t xml:space="preserve">Schlag 44b (Gemarkung Labbeck, Flur 3, Flurstücke 214 und 215/1) wurde in den Mehrfach-Anträgen 2022 und 2023 als Brachfläche (Typ: nichtproduktive Fläche / Stilllegung) mit </w:t>
      </w:r>
      <w:r>
        <w:rPr>
          <w:b/>
        </w:rPr>
        <w:t>7,4 ha</w:t>
      </w:r>
      <w:r>
        <w:t xml:space="preserve"> angegeben und zum Greening/GLÖZ-8-Nachweis herangezogen.</w:t>
      </w:r>
    </w:p>
    <w:p>
      <w:pPr>
        <w:jc w:val="left"/>
      </w:pPr>
      <w:r>
        <w:t xml:space="preserve">Bei der BLE-Kontrolle vom 11.11.2025 maßen die Prüfer nur </w:t>
      </w:r>
      <w:r>
        <w:rPr>
          <w:b/>
        </w:rPr>
        <w:t>5,1 ha</w:t>
      </w:r>
      <w:r>
        <w:t xml:space="preserve"> tatsächliche Brachfläche. Die übrigen 2,3 ha waren mit einer Winterzwischenfrucht-Mischung (Senf-Phacelia) bestanden. Die Prüfer werteten dies als unzulässige Anrechnung bepflanzter Flächen als Brachfläche.</w:t>
      </w:r>
    </w:p>
    <w:p>
      <w:pPr>
        <w:pStyle w:val="Heading3"/>
      </w:pPr>
      <w:r>
        <w:rPr>
          <w:rFonts w:ascii="Times New Roman" w:hAnsi="Times New Roman"/>
        </w:rPr>
        <w:t>2.2 Gegenargument 1: Abgrenzung der Flurstücke</w:t>
      </w:r>
    </w:p>
    <w:p>
      <w:pPr>
        <w:jc w:val="left"/>
      </w:pPr>
      <w:r>
        <w:t xml:space="preserve">Aus dem ALKIS-Kataster ergibt sich, dass Flurstück 215/1 (0,9 ha) separat vermessen und in der Schlagkartei des Betriebs als </w:t>
      </w:r>
      <w:r>
        <w:rPr>
          <w:b/>
        </w:rPr>
        <w:t>eigenständiger Schlag 44c</w:t>
      </w:r>
      <w:r>
        <w:t xml:space="preserve"> (Zwischenfrucht) geführt wird. Die Kontrolleure haben möglicherweise Schlag 44b und 44c bei der Feldvermessung zusammen betrachtet, ohne die interne Schlaggrenzen des Betriebs zu beachten. Diese Verwechslung ist in der Schlagkartei nachvollziehbar; die Abgrenzung ist durch GPS-Referenzpunkte der Bioland-Eigenkontrolle vom Oktober 2024 dokumentiert.</w:t>
      </w:r>
    </w:p>
    <w:p>
      <w:pPr>
        <w:pStyle w:val="Heading3"/>
      </w:pPr>
      <w:r>
        <w:rPr>
          <w:rFonts w:ascii="Times New Roman" w:hAnsi="Times New Roman"/>
        </w:rPr>
        <w:t>2.3 Gegenargument 2: ALKIS-Katasterfläche</w:t>
      </w:r>
    </w:p>
    <w:p>
      <w:pPr>
        <w:jc w:val="left"/>
      </w:pPr>
      <w:r>
        <w:t xml:space="preserve">Das ALKIS weist für Flurstück 214 eine amtliche Fläche von </w:t>
      </w:r>
      <w:r>
        <w:rPr>
          <w:b/>
        </w:rPr>
        <w:t>6,9 ha</w:t>
      </w:r>
      <w:r>
        <w:t xml:space="preserve"> aus. Die gemeldete Schlagfläche von 7,4 ha erklärt sich durch die einbezogene Grabenböschung (0,5 ha), die nach § 3 Abs. 3 InVeKoSV i.V.m. der BMEL-Auslegungshilfe vom März 2022 zur beihilfefähigen Fläche gezählt werden darf, wenn die Bewirtschaftung (hier: Pflegemahd) nachgewiesen wird. Hier können Fotos der Pflegemahd und die Schlagkartei-Einträge belegen, dass die Grabenböschung regelmäßig gemäht wurde.</w:t>
      </w:r>
    </w:p>
    <w:p>
      <w:pPr>
        <w:pStyle w:val="Heading3"/>
      </w:pPr>
      <w:r>
        <w:rPr>
          <w:rFonts w:ascii="Times New Roman" w:hAnsi="Times New Roman"/>
        </w:rPr>
        <w:t>2.4 Gegenargument 3: Öko-Äquivalenz (Antragsjahr 2022)</w:t>
      </w:r>
    </w:p>
    <w:p>
      <w:pPr>
        <w:jc w:val="left"/>
      </w:pPr>
      <w:r>
        <w:t>Für das Antragsjahr 2022 gilt: Der Betrieb war vollständig nach Bioland (= VO (EG) 834/2007) bewirtschaftet. Damit griff Art. 43 Abs. 11 VO (EU) 1307/2013. Selbst wenn die Flächendifferenz bei Schlag 44b bestätigt werden sollte, hätte die Greening-Anforderung für 2022 durch die Öko-Äquivalenz als erfüllt zu gelten — zumindest soweit die Gesamtbetriebsfläche dem 5 %-ÖVF-Erfordernis genügt, was bei 380 ha Gesamtbetrieb und rechnerisch 22,4 ha sonstiger ÖVF-Elemente der Fall ist.</w:t>
      </w:r>
    </w:p>
    <w:p/>
    <w:p>
      <w:pPr>
        <w:pStyle w:val="Heading2"/>
      </w:pPr>
      <w:r>
        <w:rPr>
          <w:rFonts w:ascii="Times New Roman" w:hAnsi="Times New Roman"/>
        </w:rPr>
        <w:t>3. Einschlägige Rechtsprechung</w:t>
      </w:r>
    </w:p>
    <w:p>
      <w:pPr>
        <w:pStyle w:val="Heading3"/>
      </w:pPr>
      <w:r>
        <w:rPr>
          <w:rFonts w:ascii="Times New Roman" w:hAnsi="Times New Roman"/>
        </w:rPr>
        <w:t>VG Düsseldorf, Urteil vom 14.06.2018 — 25 K 9072/16 (openjur.de)</w:t>
      </w:r>
    </w:p>
    <w:p>
      <w:pPr>
        <w:jc w:val="left"/>
      </w:pPr>
      <w:r>
        <w:t>Das VG Düsseldorf hat in diesem Urteil entschieden, dass die Behörde bei Flächendifferenzen im Greening-Bereich das Verhältnismäßigkeitsprinzip zu beachten hat und nicht schematisch auf die vollständige Rückforderung der Greening-Prämie zurückgreifen darf, wenn die Differenz auf einem entschuldbaren Irrtum bei der Schlaggrenzenbestimmung beruht. Das Gericht betonte, dass die Auslegung des LPIS-NRW durch die Behörde auch für den Landwirt bindend sein muss.</w:t>
      </w:r>
    </w:p>
    <w:p>
      <w:pPr>
        <w:pStyle w:val="Heading3"/>
      </w:pPr>
      <w:r>
        <w:rPr>
          <w:rFonts w:ascii="Times New Roman" w:hAnsi="Times New Roman"/>
        </w:rPr>
        <w:t>OVG NRW, Beschluss vom 12.03.2019 — 18 B 87/19 (openjur.de)</w:t>
      </w:r>
    </w:p>
    <w:p>
      <w:pPr>
        <w:jc w:val="left"/>
      </w:pPr>
      <w:r>
        <w:t>Das OVG NRW hat im einstweiligen Rechtsschutzverfahren entschieden, dass die aufschiebende Wirkung einer Klage gegen einen Förderrückforderungsbescheid anzuordnen ist, wenn die Rechtmäßigkeit des Bescheids ernsthaft zweifelhaft ist und der Betrieb durch die sofortige Vollziehung in seiner wirtschaftlichen Existenz gefährdet würde. Diese Voraussetzungen sind hier erfüllt.</w:t>
      </w:r>
    </w:p>
    <w:p>
      <w:pPr>
        <w:pStyle w:val="Heading3"/>
      </w:pPr>
      <w:r>
        <w:rPr>
          <w:rFonts w:ascii="Times New Roman" w:hAnsi="Times New Roman"/>
        </w:rPr>
        <w:t>BVerwG, Urteil vom 17.10.2012 — 8 C 21/11 (bundesverwaltungsgericht.de)</w:t>
      </w:r>
    </w:p>
    <w:p>
      <w:pPr>
        <w:jc w:val="left"/>
      </w:pPr>
      <w:r>
        <w:t>Das BVerwG hat klargestellt, dass bei EU-subventionsrechtlichen Rückforderungen der Grundsatz der Verhältnismäßigkeit gilt und die nationalen Behörden Ermessen bei der Festsetzung von Sanktionen ausüben müssen. Eine schematische Anwendung der Sanktionsregelungen ohne Rücksicht auf den Einzelfall ist rechtswidrig.</w:t>
      </w:r>
    </w:p>
    <w:p/>
    <w:p>
      <w:pPr>
        <w:pStyle w:val="Heading2"/>
      </w:pPr>
      <w:r>
        <w:rPr>
          <w:rFonts w:ascii="Times New Roman" w:hAnsi="Times New Roman"/>
        </w:rPr>
        <w:t>4. Empfehlungen für den Klage-Schriftsatz</w:t>
      </w:r>
    </w:p>
    <w:p>
      <w:pPr>
        <w:pStyle w:val="ListNumber"/>
      </w:pPr>
      <w:r>
        <w:rPr>
          <w:b/>
        </w:rPr>
        <w:t>Rüge der Flächenermittlung</w:t>
      </w:r>
      <w:r>
        <w:t xml:space="preserve"> durch die Prüfer (fehlerhafte Schlagabgrenzung, Zusammenfassung von Schlag 44b und 44c).</w:t>
      </w:r>
    </w:p>
    <w:p>
      <w:pPr>
        <w:pStyle w:val="ListNumber"/>
      </w:pPr>
      <w:r>
        <w:rPr>
          <w:b/>
        </w:rPr>
        <w:t>Vorlage GPS-Protokoll</w:t>
      </w:r>
      <w:r>
        <w:t xml:space="preserve"> der Bioland-Eigenkontrolle Oktober 2024 als Anlage K 5.</w:t>
      </w:r>
    </w:p>
    <w:p>
      <w:pPr>
        <w:pStyle w:val="ListNumber"/>
      </w:pPr>
      <w:r>
        <w:rPr>
          <w:b/>
        </w:rPr>
        <w:t>Beantragung eines Sachverständigengutachtens</w:t>
      </w:r>
      <w:r>
        <w:t xml:space="preserve"> zur Frage der beihilfefähigen Schlaggrenzen (§ 98 VwGO).</w:t>
      </w:r>
    </w:p>
    <w:p>
      <w:pPr>
        <w:pStyle w:val="ListNumber"/>
      </w:pPr>
      <w:r>
        <w:rPr>
          <w:b/>
        </w:rPr>
        <w:t>Rüge der Verhältnismäßigkeit</w:t>
      </w:r>
      <w:r>
        <w:t xml:space="preserve"> der vollständigen Prämienrückforderung; Antrag auf Ermessensreduzierung auf null.</w:t>
      </w:r>
    </w:p>
    <w:p>
      <w:pPr>
        <w:pStyle w:val="ListNumber"/>
      </w:pPr>
      <w:r>
        <w:rPr>
          <w:b/>
        </w:rPr>
        <w:t>Geltendmachung der Öko-Äquivalenz</w:t>
      </w:r>
      <w:r>
        <w:t xml:space="preserve"> für Antragsjahr 2022 (Art. 43 Abs. 11 VO (EU) 1307/2013).</w:t>
      </w:r>
    </w:p>
    <w:p>
      <w:pPr>
        <w:pStyle w:val="ListNumber"/>
      </w:pPr>
      <w:r>
        <w:rPr>
          <w:b/>
        </w:rPr>
        <w:t>Antrag auf aufschiebende Wirkung</w:t>
      </w:r>
      <w:r>
        <w:t xml:space="preserve"> (§ 80 Abs. 5 VwGO) mit Liquiditätsnachweis.</w:t>
      </w:r>
    </w:p>
    <w:p>
      <w:pPr>
        <w:jc w:val="left"/>
      </w:pPr>
      <w:r>
        <w:rPr>
          <w:i/>
        </w:rPr>
        <w:t>Rechtsquellen: VO (EU) Nr. 1307/2013, Art. 43 ff.; VO (EU) Nr. 640/2014, Art. 28; § 27 GAPDZV; § 80 VwGO; BVerwG 8 C 21/11; VG Düsseldorf 25 K 9072/16 (openjur.de); OVG NRW 18 B 87/19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